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A5DA" w14:textId="77777777" w:rsidR="00A162EB" w:rsidRDefault="00A162EB" w:rsidP="002A2DA1">
      <w:pPr>
        <w:pStyle w:val="Heading2"/>
        <w:rPr>
          <w:rFonts w:ascii="Verdana" w:hAnsi="Verdana"/>
          <w:sz w:val="28"/>
          <w:szCs w:val="24"/>
        </w:rPr>
      </w:pPr>
    </w:p>
    <w:p w14:paraId="795DF784" w14:textId="24E1AB48" w:rsidR="00793070" w:rsidRDefault="00B122B0" w:rsidP="002A2DA1">
      <w:pPr>
        <w:pStyle w:val="Heading2"/>
        <w:rPr>
          <w:rFonts w:ascii="Verdana" w:hAnsi="Verdana"/>
          <w:sz w:val="28"/>
          <w:szCs w:val="24"/>
        </w:rPr>
      </w:pPr>
      <w:r w:rsidRPr="002B67CD">
        <w:rPr>
          <w:rFonts w:ascii="Verdana" w:hAnsi="Verdana"/>
          <w:sz w:val="28"/>
          <w:szCs w:val="24"/>
        </w:rPr>
        <w:t>Labour Forecasting Tool</w:t>
      </w:r>
      <w:r w:rsidR="00AB2F65" w:rsidRPr="002B67CD">
        <w:rPr>
          <w:rFonts w:ascii="Verdana" w:hAnsi="Verdana"/>
          <w:sz w:val="28"/>
          <w:szCs w:val="24"/>
        </w:rPr>
        <w:t xml:space="preserve"> </w:t>
      </w:r>
      <w:r w:rsidRPr="002B67CD">
        <w:rPr>
          <w:rFonts w:ascii="Verdana" w:hAnsi="Verdana"/>
          <w:sz w:val="28"/>
          <w:szCs w:val="24"/>
        </w:rPr>
        <w:t xml:space="preserve">– </w:t>
      </w:r>
      <w:r w:rsidR="000832AD" w:rsidRPr="002B67CD">
        <w:rPr>
          <w:rFonts w:ascii="Verdana" w:hAnsi="Verdana"/>
          <w:sz w:val="28"/>
          <w:szCs w:val="24"/>
        </w:rPr>
        <w:t>Key findings</w:t>
      </w:r>
      <w:r w:rsidRPr="002B67CD">
        <w:rPr>
          <w:rFonts w:ascii="Verdana" w:hAnsi="Verdana"/>
          <w:sz w:val="28"/>
          <w:szCs w:val="24"/>
        </w:rPr>
        <w:t xml:space="preserve"> and</w:t>
      </w:r>
      <w:r w:rsidR="00E723CF" w:rsidRPr="002B67CD">
        <w:rPr>
          <w:rFonts w:ascii="Verdana" w:hAnsi="Verdana"/>
          <w:sz w:val="28"/>
          <w:szCs w:val="24"/>
        </w:rPr>
        <w:t xml:space="preserve"> considerations</w:t>
      </w:r>
      <w:r w:rsidRPr="002B67CD">
        <w:rPr>
          <w:rFonts w:ascii="Verdana" w:hAnsi="Verdana"/>
          <w:sz w:val="28"/>
          <w:szCs w:val="24"/>
        </w:rPr>
        <w:t xml:space="preserve"> </w:t>
      </w:r>
    </w:p>
    <w:p w14:paraId="7499A9AC" w14:textId="77777777" w:rsidR="00556CAD" w:rsidRPr="00556CAD" w:rsidRDefault="00556CAD" w:rsidP="00556CAD"/>
    <w:p w14:paraId="245E3FF0" w14:textId="65D67D63" w:rsidR="00B1231A" w:rsidRPr="002B67CD" w:rsidRDefault="00B1231A" w:rsidP="00B1231A">
      <w:pPr>
        <w:rPr>
          <w:rFonts w:ascii="Verdana" w:hAnsi="Verdana"/>
          <w:sz w:val="8"/>
          <w:szCs w:val="8"/>
        </w:rPr>
      </w:pPr>
    </w:p>
    <w:p w14:paraId="5152D28C" w14:textId="57060362" w:rsidR="000329E2" w:rsidRDefault="000329E2" w:rsidP="00556CAD">
      <w:pPr>
        <w:pStyle w:val="Heading3"/>
        <w:rPr>
          <w:rFonts w:ascii="Verdana" w:hAnsi="Verdana"/>
          <w:sz w:val="24"/>
          <w:szCs w:val="24"/>
        </w:rPr>
      </w:pPr>
      <w:r w:rsidRPr="002B67CD">
        <w:rPr>
          <w:rFonts w:ascii="Verdana" w:hAnsi="Verdana"/>
          <w:sz w:val="24"/>
          <w:szCs w:val="24"/>
        </w:rPr>
        <w:t>Important considerations</w:t>
      </w:r>
    </w:p>
    <w:p w14:paraId="6E4E72F2" w14:textId="77777777" w:rsidR="00556CAD" w:rsidRPr="00556CAD" w:rsidRDefault="00556CAD" w:rsidP="00556CAD"/>
    <w:p w14:paraId="5B7992FF" w14:textId="3C15F193" w:rsidR="00B1231A" w:rsidRPr="002B67CD" w:rsidRDefault="009F10B8" w:rsidP="000C3069">
      <w:pPr>
        <w:pStyle w:val="Heading4"/>
        <w:spacing w:after="240"/>
        <w:rPr>
          <w:rFonts w:ascii="Verdana" w:hAnsi="Verdana"/>
          <w:sz w:val="22"/>
          <w:szCs w:val="22"/>
        </w:rPr>
      </w:pPr>
      <w:r w:rsidRPr="002B67CD">
        <w:rPr>
          <w:rFonts w:ascii="Verdana" w:hAnsi="Verdana"/>
          <w:sz w:val="22"/>
          <w:szCs w:val="22"/>
        </w:rPr>
        <w:t>Scope of engineering construction</w:t>
      </w:r>
    </w:p>
    <w:p w14:paraId="4BCA093D" w14:textId="1A308D00" w:rsidR="0029514B" w:rsidRPr="002B67CD" w:rsidRDefault="00925800" w:rsidP="009F10B8">
      <w:pPr>
        <w:rPr>
          <w:rFonts w:ascii="Verdana" w:hAnsi="Verdana"/>
          <w:sz w:val="22"/>
          <w:szCs w:val="22"/>
        </w:rPr>
      </w:pPr>
      <w:r w:rsidRPr="002B67CD">
        <w:rPr>
          <w:rFonts w:ascii="Verdana" w:hAnsi="Verdana"/>
          <w:sz w:val="22"/>
          <w:szCs w:val="22"/>
        </w:rPr>
        <w:t xml:space="preserve">The </w:t>
      </w:r>
      <w:hyperlink r:id="rId11" w:history="1">
        <w:r w:rsidRPr="00017D9D">
          <w:rPr>
            <w:rStyle w:val="Hyperlink"/>
            <w:rFonts w:ascii="Verdana" w:hAnsi="Verdana"/>
            <w:sz w:val="22"/>
            <w:szCs w:val="22"/>
          </w:rPr>
          <w:t>Labour Forecasting Tool</w:t>
        </w:r>
      </w:hyperlink>
      <w:r w:rsidR="00AB2F65" w:rsidRPr="002B67CD">
        <w:rPr>
          <w:rFonts w:ascii="Verdana" w:hAnsi="Verdana"/>
          <w:sz w:val="22"/>
          <w:szCs w:val="22"/>
        </w:rPr>
        <w:t xml:space="preserve"> (LFT)</w:t>
      </w:r>
      <w:r w:rsidRPr="002B67CD">
        <w:rPr>
          <w:rFonts w:ascii="Verdana" w:hAnsi="Verdana"/>
          <w:sz w:val="22"/>
          <w:szCs w:val="22"/>
        </w:rPr>
        <w:t xml:space="preserve"> </w:t>
      </w:r>
      <w:r w:rsidR="00720118" w:rsidRPr="002B67CD">
        <w:rPr>
          <w:rFonts w:ascii="Verdana" w:hAnsi="Verdana"/>
          <w:sz w:val="22"/>
          <w:szCs w:val="22"/>
        </w:rPr>
        <w:t xml:space="preserve">is </w:t>
      </w:r>
      <w:r w:rsidR="00431FAA" w:rsidRPr="002B67CD">
        <w:rPr>
          <w:rFonts w:ascii="Verdana" w:hAnsi="Verdana"/>
          <w:sz w:val="22"/>
          <w:szCs w:val="22"/>
        </w:rPr>
        <w:t>designed</w:t>
      </w:r>
      <w:r w:rsidR="00720118" w:rsidRPr="002B67CD">
        <w:rPr>
          <w:rFonts w:ascii="Verdana" w:hAnsi="Verdana"/>
          <w:sz w:val="22"/>
          <w:szCs w:val="22"/>
        </w:rPr>
        <w:t xml:space="preserve"> </w:t>
      </w:r>
      <w:r w:rsidR="009F0984" w:rsidRPr="002B67CD">
        <w:rPr>
          <w:rFonts w:ascii="Verdana" w:hAnsi="Verdana"/>
          <w:sz w:val="22"/>
          <w:szCs w:val="22"/>
        </w:rPr>
        <w:t>to focus on</w:t>
      </w:r>
      <w:r w:rsidR="00720118" w:rsidRPr="002B67CD">
        <w:rPr>
          <w:rFonts w:ascii="Verdana" w:hAnsi="Verdana"/>
          <w:sz w:val="22"/>
          <w:szCs w:val="22"/>
        </w:rPr>
        <w:t xml:space="preserve"> the engineering construction industry</w:t>
      </w:r>
      <w:r w:rsidR="0001341A" w:rsidRPr="002B67CD">
        <w:rPr>
          <w:rFonts w:ascii="Verdana" w:hAnsi="Verdana"/>
          <w:sz w:val="22"/>
          <w:szCs w:val="22"/>
        </w:rPr>
        <w:t xml:space="preserve"> (ECI)</w:t>
      </w:r>
      <w:r w:rsidR="00720118" w:rsidRPr="002B67CD">
        <w:rPr>
          <w:rFonts w:ascii="Verdana" w:hAnsi="Verdana"/>
          <w:sz w:val="22"/>
          <w:szCs w:val="22"/>
        </w:rPr>
        <w:t xml:space="preserve">. </w:t>
      </w:r>
      <w:r w:rsidR="0076579B" w:rsidRPr="002B67CD">
        <w:rPr>
          <w:rFonts w:ascii="Verdana" w:hAnsi="Verdana"/>
          <w:sz w:val="22"/>
          <w:szCs w:val="22"/>
        </w:rPr>
        <w:t xml:space="preserve">As a result, the sector sizes and forecasts presented in this tool may differ from the size estimates and forecasts published by other sources which may adopt broader views </w:t>
      </w:r>
      <w:r w:rsidR="00746F61" w:rsidRPr="002B67CD">
        <w:rPr>
          <w:rFonts w:ascii="Verdana" w:hAnsi="Verdana"/>
          <w:sz w:val="22"/>
          <w:szCs w:val="22"/>
        </w:rPr>
        <w:t>of</w:t>
      </w:r>
      <w:r w:rsidR="0076579B" w:rsidRPr="002B67CD">
        <w:rPr>
          <w:rFonts w:ascii="Verdana" w:hAnsi="Verdana"/>
          <w:sz w:val="22"/>
          <w:szCs w:val="22"/>
        </w:rPr>
        <w:t xml:space="preserve"> the sectors concerned. </w:t>
      </w:r>
      <w:r w:rsidR="000C063A" w:rsidRPr="002B67CD">
        <w:rPr>
          <w:rFonts w:ascii="Verdana" w:hAnsi="Verdana"/>
          <w:sz w:val="22"/>
          <w:szCs w:val="22"/>
        </w:rPr>
        <w:t xml:space="preserve">For a comprehensive </w:t>
      </w:r>
      <w:r w:rsidR="00AF712C" w:rsidRPr="002B67CD">
        <w:rPr>
          <w:rFonts w:ascii="Verdana" w:hAnsi="Verdana"/>
          <w:sz w:val="22"/>
          <w:szCs w:val="22"/>
        </w:rPr>
        <w:t xml:space="preserve">definition of the engineering construction industry, please </w:t>
      </w:r>
      <w:r w:rsidR="00B06DD3" w:rsidRPr="002B67CD">
        <w:rPr>
          <w:rFonts w:ascii="Verdana" w:hAnsi="Verdana"/>
          <w:sz w:val="22"/>
          <w:szCs w:val="22"/>
        </w:rPr>
        <w:t>refer to</w:t>
      </w:r>
      <w:r w:rsidR="009E0CF7" w:rsidRPr="002B67CD">
        <w:rPr>
          <w:rFonts w:ascii="Verdana" w:hAnsi="Verdana"/>
          <w:sz w:val="22"/>
          <w:szCs w:val="22"/>
        </w:rPr>
        <w:t xml:space="preserve"> the </w:t>
      </w:r>
      <w:hyperlink r:id="rId12" w:history="1">
        <w:r w:rsidR="009E0CF7" w:rsidRPr="002B67CD">
          <w:rPr>
            <w:rStyle w:val="Hyperlink"/>
            <w:rFonts w:ascii="Verdana" w:hAnsi="Verdana"/>
            <w:sz w:val="22"/>
            <w:szCs w:val="22"/>
          </w:rPr>
          <w:t>1991 Industrial Training Order</w:t>
        </w:r>
      </w:hyperlink>
      <w:r w:rsidR="009E0CF7" w:rsidRPr="002B67CD">
        <w:rPr>
          <w:rFonts w:ascii="Verdana" w:hAnsi="Verdana"/>
          <w:sz w:val="22"/>
          <w:szCs w:val="22"/>
        </w:rPr>
        <w:t>.</w:t>
      </w:r>
    </w:p>
    <w:p w14:paraId="13015731" w14:textId="77777777" w:rsidR="00346E95" w:rsidRPr="002B67CD" w:rsidRDefault="00346E95" w:rsidP="009F10B8">
      <w:pPr>
        <w:rPr>
          <w:rFonts w:ascii="Verdana" w:hAnsi="Verdana"/>
          <w:sz w:val="22"/>
          <w:szCs w:val="22"/>
        </w:rPr>
      </w:pPr>
    </w:p>
    <w:p w14:paraId="460EE3BD" w14:textId="1AE54E81" w:rsidR="00346E95" w:rsidRPr="002B67CD" w:rsidRDefault="00346E95" w:rsidP="00556CAD">
      <w:pPr>
        <w:pStyle w:val="Heading4"/>
        <w:spacing w:after="240"/>
        <w:rPr>
          <w:rFonts w:ascii="Verdana" w:hAnsi="Verdana"/>
          <w:sz w:val="22"/>
          <w:szCs w:val="22"/>
        </w:rPr>
      </w:pPr>
      <w:r w:rsidRPr="002B67CD">
        <w:rPr>
          <w:rFonts w:ascii="Verdana" w:hAnsi="Verdana"/>
          <w:sz w:val="22"/>
          <w:szCs w:val="22"/>
        </w:rPr>
        <w:t>Database characteristics</w:t>
      </w:r>
    </w:p>
    <w:p w14:paraId="533D957E" w14:textId="012FA43B" w:rsidR="005654BA" w:rsidRPr="002B67CD" w:rsidRDefault="00286497" w:rsidP="009F10B8">
      <w:pPr>
        <w:rPr>
          <w:rFonts w:ascii="Verdana" w:hAnsi="Verdana"/>
          <w:sz w:val="22"/>
          <w:szCs w:val="22"/>
        </w:rPr>
      </w:pPr>
      <w:r w:rsidRPr="002B67CD">
        <w:rPr>
          <w:rFonts w:ascii="Verdana" w:hAnsi="Verdana"/>
          <w:sz w:val="22"/>
          <w:szCs w:val="22"/>
        </w:rPr>
        <w:t xml:space="preserve">The two main databases are the </w:t>
      </w:r>
      <w:hyperlink r:id="rId13" w:history="1">
        <w:r w:rsidRPr="002B67CD">
          <w:rPr>
            <w:rStyle w:val="Hyperlink"/>
            <w:rFonts w:ascii="Verdana" w:hAnsi="Verdana"/>
            <w:sz w:val="22"/>
            <w:szCs w:val="22"/>
          </w:rPr>
          <w:t>ECITB 2021 workforce census</w:t>
        </w:r>
      </w:hyperlink>
      <w:r w:rsidR="00D236F1" w:rsidRPr="002B67CD">
        <w:rPr>
          <w:rFonts w:ascii="Verdana" w:hAnsi="Verdana"/>
          <w:sz w:val="22"/>
          <w:szCs w:val="22"/>
        </w:rPr>
        <w:t xml:space="preserve"> and a list of ECI projects. </w:t>
      </w:r>
      <w:r w:rsidR="0014508E" w:rsidRPr="002B67CD">
        <w:rPr>
          <w:rFonts w:ascii="Verdana" w:hAnsi="Verdana"/>
          <w:sz w:val="22"/>
          <w:szCs w:val="22"/>
        </w:rPr>
        <w:t>The list contains data on over 1,500 projects</w:t>
      </w:r>
      <w:r w:rsidR="00B523ED" w:rsidRPr="002B67CD">
        <w:rPr>
          <w:rFonts w:ascii="Verdana" w:hAnsi="Verdana"/>
          <w:sz w:val="22"/>
          <w:szCs w:val="22"/>
        </w:rPr>
        <w:t xml:space="preserve"> across the oil and gas, nuclear, renewables, water treatment, food and drink, conventional power generation, chemicals, hydrogen, and </w:t>
      </w:r>
      <w:r w:rsidR="00B313FA" w:rsidRPr="002B67CD">
        <w:rPr>
          <w:rFonts w:ascii="Verdana" w:hAnsi="Verdana"/>
          <w:sz w:val="22"/>
          <w:szCs w:val="22"/>
        </w:rPr>
        <w:t xml:space="preserve">carbon capture </w:t>
      </w:r>
      <w:r w:rsidR="00A54893" w:rsidRPr="002B67CD">
        <w:rPr>
          <w:rFonts w:ascii="Verdana" w:hAnsi="Verdana"/>
          <w:sz w:val="22"/>
          <w:szCs w:val="22"/>
        </w:rPr>
        <w:t>sectors</w:t>
      </w:r>
      <w:r w:rsidR="00B313FA" w:rsidRPr="002B67CD">
        <w:rPr>
          <w:rFonts w:ascii="Verdana" w:hAnsi="Verdana"/>
          <w:sz w:val="22"/>
          <w:szCs w:val="22"/>
        </w:rPr>
        <w:t xml:space="preserve">. </w:t>
      </w:r>
      <w:r w:rsidR="00D5372B" w:rsidRPr="00D5372B">
        <w:rPr>
          <w:rFonts w:ascii="Verdana" w:hAnsi="Verdana"/>
          <w:sz w:val="22"/>
          <w:szCs w:val="22"/>
        </w:rPr>
        <w:t>The ECITB makes no specific assumptions about the likelihood of each project meeting the deadlines indicated in the database. Therefore, any overestimation or underestimation by the parties involved will have an impact on the accuracy of the forecasts.</w:t>
      </w:r>
    </w:p>
    <w:p w14:paraId="3E5C5D6E" w14:textId="5E68B9B4" w:rsidR="00556CAD" w:rsidRDefault="00556CAD" w:rsidP="008A2FAE">
      <w:pPr>
        <w:rPr>
          <w:rFonts w:ascii="Verdana" w:hAnsi="Verdana"/>
          <w:sz w:val="22"/>
          <w:szCs w:val="22"/>
        </w:rPr>
      </w:pPr>
      <w:r w:rsidRPr="00556CAD">
        <w:rPr>
          <w:rFonts w:ascii="Verdana" w:hAnsi="Verdana"/>
          <w:sz w:val="22"/>
          <w:szCs w:val="22"/>
        </w:rPr>
        <w:t xml:space="preserve">The list focuses on projects located in </w:t>
      </w:r>
      <w:r>
        <w:rPr>
          <w:rFonts w:ascii="Verdana" w:hAnsi="Verdana"/>
          <w:sz w:val="22"/>
          <w:szCs w:val="22"/>
        </w:rPr>
        <w:t xml:space="preserve">Great Britain </w:t>
      </w:r>
      <w:r w:rsidRPr="00556CAD">
        <w:rPr>
          <w:rFonts w:ascii="Verdana" w:hAnsi="Verdana"/>
          <w:sz w:val="22"/>
          <w:szCs w:val="22"/>
        </w:rPr>
        <w:t xml:space="preserve">(including offshore projects) and therefore does not include projects located in other countries, although </w:t>
      </w:r>
      <w:r>
        <w:rPr>
          <w:rFonts w:ascii="Verdana" w:hAnsi="Verdana"/>
          <w:sz w:val="22"/>
          <w:szCs w:val="22"/>
        </w:rPr>
        <w:t>GB</w:t>
      </w:r>
      <w:r w:rsidRPr="00556CAD">
        <w:rPr>
          <w:rFonts w:ascii="Verdana" w:hAnsi="Verdana"/>
          <w:sz w:val="22"/>
          <w:szCs w:val="22"/>
        </w:rPr>
        <w:t>-based contractors may be awarded contracts for overseas projects. The first iteration of the LFT does not cover this aspect, and the ECITB will work to incorporate it into the tool.</w:t>
      </w:r>
    </w:p>
    <w:p w14:paraId="5B73BCAC" w14:textId="77777777" w:rsidR="00556CAD" w:rsidRPr="00556CAD" w:rsidRDefault="00556CAD" w:rsidP="008A2FAE">
      <w:pPr>
        <w:rPr>
          <w:rFonts w:ascii="Verdana" w:hAnsi="Verdana"/>
          <w:sz w:val="22"/>
          <w:szCs w:val="22"/>
        </w:rPr>
      </w:pPr>
    </w:p>
    <w:p w14:paraId="4E2B9AC5" w14:textId="39957AE2" w:rsidR="00556CAD" w:rsidRPr="00556CAD" w:rsidRDefault="000122CD" w:rsidP="00556CAD">
      <w:pPr>
        <w:pStyle w:val="Heading4"/>
        <w:spacing w:after="240"/>
        <w:rPr>
          <w:rFonts w:ascii="Verdana" w:hAnsi="Verdana"/>
          <w:sz w:val="22"/>
          <w:szCs w:val="22"/>
        </w:rPr>
      </w:pPr>
      <w:r w:rsidRPr="002B67CD">
        <w:rPr>
          <w:rFonts w:ascii="Verdana" w:hAnsi="Verdana"/>
          <w:sz w:val="22"/>
          <w:szCs w:val="22"/>
        </w:rPr>
        <w:t>Workforce location</w:t>
      </w:r>
    </w:p>
    <w:p w14:paraId="779B3789" w14:textId="02C8B02C" w:rsidR="00D956BF" w:rsidRDefault="007A16FB" w:rsidP="00D956BF">
      <w:pPr>
        <w:rPr>
          <w:rFonts w:ascii="Verdana" w:hAnsi="Verdana"/>
          <w:sz w:val="22"/>
          <w:szCs w:val="22"/>
        </w:rPr>
      </w:pPr>
      <w:r w:rsidRPr="002B67CD">
        <w:rPr>
          <w:rFonts w:ascii="Verdana" w:hAnsi="Verdana"/>
          <w:sz w:val="22"/>
          <w:szCs w:val="22"/>
        </w:rPr>
        <w:t xml:space="preserve">Workforces are linked to the location of industrial sites rather than the exact place of work. For example, 1,000 workers may be needed for a project in Wales, but some of the workforce based in the offices may be based elsewhere. In this case, the LFT links the 1,000 workers to Wales. Similarly, the number of workers linked to offshore regions are not all </w:t>
      </w:r>
      <w:r w:rsidR="004A013C" w:rsidRPr="002B67CD">
        <w:rPr>
          <w:rFonts w:ascii="Verdana" w:hAnsi="Verdana"/>
          <w:sz w:val="22"/>
          <w:szCs w:val="22"/>
        </w:rPr>
        <w:t>trave</w:t>
      </w:r>
      <w:r w:rsidR="00CA376C" w:rsidRPr="002B67CD">
        <w:rPr>
          <w:rFonts w:ascii="Verdana" w:hAnsi="Verdana"/>
          <w:sz w:val="22"/>
          <w:szCs w:val="22"/>
        </w:rPr>
        <w:t>l</w:t>
      </w:r>
      <w:r w:rsidR="004A013C" w:rsidRPr="002B67CD">
        <w:rPr>
          <w:rFonts w:ascii="Verdana" w:hAnsi="Verdana"/>
          <w:sz w:val="22"/>
          <w:szCs w:val="22"/>
        </w:rPr>
        <w:t xml:space="preserve">ling </w:t>
      </w:r>
      <w:r w:rsidRPr="002B67CD">
        <w:rPr>
          <w:rFonts w:ascii="Verdana" w:hAnsi="Verdana"/>
          <w:sz w:val="22"/>
          <w:szCs w:val="22"/>
        </w:rPr>
        <w:t>offshore.</w:t>
      </w:r>
      <w:r w:rsidR="00C31046" w:rsidRPr="002B67CD">
        <w:rPr>
          <w:rFonts w:ascii="Verdana" w:hAnsi="Verdana"/>
          <w:sz w:val="22"/>
          <w:szCs w:val="22"/>
        </w:rPr>
        <w:t xml:space="preserve"> Offshore locations are aligned with the British Geological Survey’s </w:t>
      </w:r>
      <w:hyperlink r:id="rId14" w:history="1">
        <w:r w:rsidR="00C31046" w:rsidRPr="002B67CD">
          <w:rPr>
            <w:rStyle w:val="Hyperlink"/>
            <w:rFonts w:ascii="Verdana" w:hAnsi="Verdana"/>
            <w:sz w:val="22"/>
            <w:szCs w:val="22"/>
          </w:rPr>
          <w:t>classification</w:t>
        </w:r>
      </w:hyperlink>
      <w:r w:rsidR="00C31046" w:rsidRPr="002B67CD">
        <w:rPr>
          <w:rFonts w:ascii="Verdana" w:hAnsi="Verdana"/>
          <w:sz w:val="22"/>
          <w:szCs w:val="22"/>
        </w:rPr>
        <w:t xml:space="preserve">. </w:t>
      </w:r>
    </w:p>
    <w:p w14:paraId="79ECD6B5" w14:textId="77777777" w:rsidR="00556CAD" w:rsidRPr="00556CAD" w:rsidRDefault="00556CAD" w:rsidP="00D956BF">
      <w:pPr>
        <w:rPr>
          <w:rFonts w:ascii="Verdana" w:hAnsi="Verdana"/>
          <w:sz w:val="22"/>
          <w:szCs w:val="22"/>
        </w:rPr>
      </w:pPr>
    </w:p>
    <w:p w14:paraId="601F3DFA" w14:textId="7DAF1B3B" w:rsidR="00A818F7" w:rsidRPr="002B67CD" w:rsidRDefault="00A818F7" w:rsidP="000C3069">
      <w:pPr>
        <w:pStyle w:val="Heading4"/>
        <w:spacing w:after="240"/>
        <w:rPr>
          <w:rFonts w:ascii="Verdana" w:hAnsi="Verdana"/>
          <w:sz w:val="22"/>
          <w:szCs w:val="22"/>
        </w:rPr>
      </w:pPr>
      <w:r w:rsidRPr="002B67CD">
        <w:rPr>
          <w:rFonts w:ascii="Verdana" w:hAnsi="Verdana"/>
          <w:sz w:val="22"/>
          <w:szCs w:val="22"/>
        </w:rPr>
        <w:t>Local content</w:t>
      </w:r>
    </w:p>
    <w:p w14:paraId="0DAEAB38" w14:textId="044ED752" w:rsidR="00A818F7" w:rsidRDefault="00D956BF" w:rsidP="00A818F7">
      <w:pPr>
        <w:rPr>
          <w:rFonts w:ascii="Verdana" w:hAnsi="Verdana"/>
          <w:sz w:val="22"/>
          <w:szCs w:val="22"/>
        </w:rPr>
      </w:pPr>
      <w:r w:rsidRPr="002B67CD">
        <w:rPr>
          <w:rFonts w:ascii="Verdana" w:hAnsi="Verdana"/>
          <w:sz w:val="22"/>
          <w:szCs w:val="22"/>
        </w:rPr>
        <w:t>The underlying workforce data is derived from the</w:t>
      </w:r>
      <w:r w:rsidR="00F16624" w:rsidRPr="002B67CD">
        <w:rPr>
          <w:rFonts w:ascii="Verdana" w:hAnsi="Verdana"/>
          <w:sz w:val="22"/>
          <w:szCs w:val="22"/>
        </w:rPr>
        <w:t xml:space="preserve"> ECITB</w:t>
      </w:r>
      <w:r w:rsidRPr="002B67CD">
        <w:rPr>
          <w:rFonts w:ascii="Verdana" w:hAnsi="Verdana"/>
          <w:sz w:val="22"/>
          <w:szCs w:val="22"/>
        </w:rPr>
        <w:t xml:space="preserve"> 2021 ECI workforce census</w:t>
      </w:r>
      <w:r w:rsidR="00EF332B" w:rsidRPr="002B67CD">
        <w:rPr>
          <w:rFonts w:ascii="Verdana" w:hAnsi="Verdana"/>
          <w:sz w:val="22"/>
          <w:szCs w:val="22"/>
        </w:rPr>
        <w:t xml:space="preserve"> of ECITB in-scope employers</w:t>
      </w:r>
      <w:r w:rsidRPr="002B67CD">
        <w:rPr>
          <w:rFonts w:ascii="Verdana" w:hAnsi="Verdana"/>
          <w:sz w:val="22"/>
          <w:szCs w:val="22"/>
        </w:rPr>
        <w:t xml:space="preserve">. Therefore, the percentage of local content is assumed to remain </w:t>
      </w:r>
      <w:proofErr w:type="gramStart"/>
      <w:r w:rsidRPr="002B67CD">
        <w:rPr>
          <w:rFonts w:ascii="Verdana" w:hAnsi="Verdana"/>
          <w:sz w:val="22"/>
          <w:szCs w:val="22"/>
        </w:rPr>
        <w:t>similar to</w:t>
      </w:r>
      <w:proofErr w:type="gramEnd"/>
      <w:r w:rsidRPr="002B67CD">
        <w:rPr>
          <w:rFonts w:ascii="Verdana" w:hAnsi="Verdana"/>
          <w:sz w:val="22"/>
          <w:szCs w:val="22"/>
        </w:rPr>
        <w:t xml:space="preserve"> </w:t>
      </w:r>
      <w:r w:rsidR="00F16624" w:rsidRPr="002B67CD">
        <w:rPr>
          <w:rFonts w:ascii="Verdana" w:hAnsi="Verdana"/>
          <w:sz w:val="22"/>
          <w:szCs w:val="22"/>
        </w:rPr>
        <w:t>that</w:t>
      </w:r>
      <w:r w:rsidRPr="002B67CD">
        <w:rPr>
          <w:rFonts w:ascii="Verdana" w:hAnsi="Verdana"/>
          <w:sz w:val="22"/>
          <w:szCs w:val="22"/>
        </w:rPr>
        <w:t xml:space="preserve"> in 2021.</w:t>
      </w:r>
      <w:r w:rsidR="006E7EA9" w:rsidRPr="002B67CD">
        <w:rPr>
          <w:rFonts w:ascii="Verdana" w:hAnsi="Verdana"/>
          <w:sz w:val="22"/>
          <w:szCs w:val="22"/>
        </w:rPr>
        <w:t xml:space="preserve"> It should also be noted that the Workforce Census may not have captured the broader ECI (</w:t>
      </w:r>
      <w:proofErr w:type="gramStart"/>
      <w:r w:rsidR="006E7EA9" w:rsidRPr="002B67CD">
        <w:rPr>
          <w:rFonts w:ascii="Verdana" w:hAnsi="Verdana"/>
          <w:sz w:val="22"/>
          <w:szCs w:val="22"/>
        </w:rPr>
        <w:t>i.e.</w:t>
      </w:r>
      <w:proofErr w:type="gramEnd"/>
      <w:r w:rsidR="006E7EA9" w:rsidRPr="002B67CD">
        <w:rPr>
          <w:rFonts w:ascii="Verdana" w:hAnsi="Verdana"/>
          <w:sz w:val="22"/>
          <w:szCs w:val="22"/>
        </w:rPr>
        <w:t xml:space="preserve"> employers out of scope to the ECITB but still active in the ECI).</w:t>
      </w:r>
    </w:p>
    <w:p w14:paraId="258C1AB5" w14:textId="77777777" w:rsidR="00556CAD" w:rsidRPr="00556CAD" w:rsidRDefault="00556CAD" w:rsidP="00A818F7">
      <w:pPr>
        <w:rPr>
          <w:rFonts w:ascii="Verdana" w:hAnsi="Verdana"/>
          <w:sz w:val="22"/>
          <w:szCs w:val="22"/>
        </w:rPr>
      </w:pPr>
    </w:p>
    <w:p w14:paraId="5D8C2D2F" w14:textId="63647F6B" w:rsidR="00A818F7" w:rsidRPr="002B67CD" w:rsidRDefault="007F1633" w:rsidP="000C3069">
      <w:pPr>
        <w:pStyle w:val="Heading4"/>
        <w:spacing w:after="240"/>
        <w:rPr>
          <w:rFonts w:ascii="Verdana" w:hAnsi="Verdana"/>
          <w:sz w:val="22"/>
          <w:szCs w:val="22"/>
        </w:rPr>
      </w:pPr>
      <w:r w:rsidRPr="002B67CD">
        <w:rPr>
          <w:rFonts w:ascii="Verdana" w:hAnsi="Verdana"/>
          <w:sz w:val="22"/>
          <w:szCs w:val="22"/>
        </w:rPr>
        <w:t>Relationship between investment and workforce</w:t>
      </w:r>
      <w:r w:rsidR="00211C5C" w:rsidRPr="002B67CD">
        <w:rPr>
          <w:rFonts w:ascii="Verdana" w:hAnsi="Verdana"/>
          <w:sz w:val="22"/>
          <w:szCs w:val="22"/>
        </w:rPr>
        <w:t xml:space="preserve"> numbers</w:t>
      </w:r>
      <w:r w:rsidRPr="002B67CD">
        <w:rPr>
          <w:rFonts w:ascii="Verdana" w:hAnsi="Verdana"/>
          <w:sz w:val="22"/>
          <w:szCs w:val="22"/>
        </w:rPr>
        <w:t xml:space="preserve"> </w:t>
      </w:r>
    </w:p>
    <w:p w14:paraId="6C660D7E" w14:textId="03F027F8" w:rsidR="00F65B83" w:rsidRDefault="00CE3558" w:rsidP="00A46DE9">
      <w:pPr>
        <w:rPr>
          <w:rFonts w:ascii="Verdana" w:hAnsi="Verdana"/>
          <w:sz w:val="22"/>
          <w:szCs w:val="22"/>
        </w:rPr>
      </w:pPr>
      <w:r w:rsidRPr="002B67CD">
        <w:rPr>
          <w:rFonts w:ascii="Verdana" w:hAnsi="Verdana"/>
          <w:sz w:val="22"/>
          <w:szCs w:val="22"/>
        </w:rPr>
        <w:t xml:space="preserve">Project </w:t>
      </w:r>
      <w:r w:rsidR="00E02F10" w:rsidRPr="002B67CD">
        <w:rPr>
          <w:rFonts w:ascii="Verdana" w:hAnsi="Verdana"/>
          <w:sz w:val="22"/>
          <w:szCs w:val="22"/>
        </w:rPr>
        <w:t xml:space="preserve">investment </w:t>
      </w:r>
      <w:r w:rsidRPr="002B67CD">
        <w:rPr>
          <w:rFonts w:ascii="Verdana" w:hAnsi="Verdana"/>
          <w:sz w:val="22"/>
          <w:szCs w:val="22"/>
        </w:rPr>
        <w:t>values drive</w:t>
      </w:r>
      <w:r w:rsidR="00E02F10" w:rsidRPr="002B67CD">
        <w:rPr>
          <w:rFonts w:ascii="Verdana" w:hAnsi="Verdana"/>
          <w:sz w:val="22"/>
          <w:szCs w:val="22"/>
        </w:rPr>
        <w:t xml:space="preserve"> labour</w:t>
      </w:r>
      <w:r w:rsidRPr="002B67CD">
        <w:rPr>
          <w:rFonts w:ascii="Verdana" w:hAnsi="Verdana"/>
          <w:sz w:val="22"/>
          <w:szCs w:val="22"/>
        </w:rPr>
        <w:t xml:space="preserve"> forecasts. This means that a higher project value translates into a larger workforce. The relationship between labour and investment varies according to sector and technology. The tool uses a series of labour coefficients to capture these sectoral differences. However, data for the </w:t>
      </w:r>
      <w:r w:rsidR="000839E3" w:rsidRPr="002B67CD">
        <w:rPr>
          <w:rFonts w:ascii="Verdana" w:hAnsi="Verdana"/>
          <w:sz w:val="22"/>
          <w:szCs w:val="22"/>
        </w:rPr>
        <w:t>less mature</w:t>
      </w:r>
      <w:r w:rsidRPr="002B67CD">
        <w:rPr>
          <w:rFonts w:ascii="Verdana" w:hAnsi="Verdana"/>
          <w:sz w:val="22"/>
          <w:szCs w:val="22"/>
        </w:rPr>
        <w:t xml:space="preserve"> sectors (carbon capture and hydrogen) </w:t>
      </w:r>
      <w:r w:rsidR="00F95657" w:rsidRPr="002B67CD">
        <w:rPr>
          <w:rFonts w:ascii="Verdana" w:hAnsi="Verdana"/>
          <w:sz w:val="22"/>
          <w:szCs w:val="22"/>
        </w:rPr>
        <w:t>are</w:t>
      </w:r>
      <w:r w:rsidRPr="002B67CD">
        <w:rPr>
          <w:rFonts w:ascii="Verdana" w:hAnsi="Verdana"/>
          <w:sz w:val="22"/>
          <w:szCs w:val="22"/>
        </w:rPr>
        <w:t xml:space="preserve"> scarce, which affects the reliability of the forecasts.</w:t>
      </w:r>
    </w:p>
    <w:p w14:paraId="5FEC0045" w14:textId="77777777" w:rsidR="00556CAD" w:rsidRPr="00556CAD" w:rsidRDefault="00556CAD" w:rsidP="00A46DE9">
      <w:pPr>
        <w:rPr>
          <w:rFonts w:ascii="Verdana" w:hAnsi="Verdana"/>
          <w:sz w:val="22"/>
          <w:szCs w:val="22"/>
        </w:rPr>
      </w:pPr>
    </w:p>
    <w:p w14:paraId="2BD5574F" w14:textId="55D3B464" w:rsidR="00C5290B" w:rsidRPr="002B67CD" w:rsidRDefault="002A2DA1" w:rsidP="000C3069">
      <w:pPr>
        <w:pStyle w:val="Heading4"/>
        <w:spacing w:after="240"/>
        <w:rPr>
          <w:rFonts w:ascii="Verdana" w:hAnsi="Verdana"/>
          <w:sz w:val="22"/>
          <w:szCs w:val="22"/>
        </w:rPr>
      </w:pPr>
      <w:r w:rsidRPr="002B67CD">
        <w:rPr>
          <w:rFonts w:ascii="Verdana" w:hAnsi="Verdana"/>
          <w:sz w:val="22"/>
          <w:szCs w:val="22"/>
        </w:rPr>
        <w:lastRenderedPageBreak/>
        <w:t>Longer-term assumptions</w:t>
      </w:r>
    </w:p>
    <w:p w14:paraId="6775B586" w14:textId="7663DF19" w:rsidR="00C15C80" w:rsidRDefault="00FB5A32" w:rsidP="00676076">
      <w:pPr>
        <w:rPr>
          <w:rFonts w:ascii="Verdana" w:hAnsi="Verdana"/>
          <w:sz w:val="22"/>
          <w:szCs w:val="22"/>
        </w:rPr>
      </w:pPr>
      <w:r w:rsidRPr="002B67CD">
        <w:rPr>
          <w:rFonts w:ascii="Verdana" w:hAnsi="Verdana"/>
          <w:sz w:val="22"/>
          <w:szCs w:val="22"/>
        </w:rPr>
        <w:t xml:space="preserve">For the purposes of this tool, a conservative judgement has been applied </w:t>
      </w:r>
      <w:proofErr w:type="gramStart"/>
      <w:r w:rsidRPr="002B67CD">
        <w:rPr>
          <w:rFonts w:ascii="Verdana" w:hAnsi="Verdana"/>
          <w:sz w:val="22"/>
          <w:szCs w:val="22"/>
        </w:rPr>
        <w:t>with regard to</w:t>
      </w:r>
      <w:proofErr w:type="gramEnd"/>
      <w:r w:rsidRPr="002B67CD">
        <w:rPr>
          <w:rFonts w:ascii="Verdana" w:hAnsi="Verdana"/>
          <w:sz w:val="22"/>
          <w:szCs w:val="22"/>
        </w:rPr>
        <w:t xml:space="preserve"> longer-term assumptions. For example, it is assumed that there will be no further major nuclear power stations in addition to the existing plans (mainly the EDF plants, the STEP prototype fusion plan, and possibly Bradwell B and Wylfa). </w:t>
      </w:r>
      <w:r w:rsidR="00870404" w:rsidRPr="002B67CD">
        <w:rPr>
          <w:rFonts w:ascii="Verdana" w:hAnsi="Verdana"/>
          <w:sz w:val="22"/>
          <w:szCs w:val="22"/>
        </w:rPr>
        <w:t>T</w:t>
      </w:r>
      <w:r w:rsidRPr="002B67CD">
        <w:rPr>
          <w:rFonts w:ascii="Verdana" w:hAnsi="Verdana"/>
          <w:sz w:val="22"/>
          <w:szCs w:val="22"/>
        </w:rPr>
        <w:t>he LFT shows a decline in the oil and gas sector over the next few years, in line with existing literature and forecasts. However, the decline described in the LFT is on the less pessimistic side of the forecasts published to date, with a 30% decline in the sector's workforce between 2023 and 2035.</w:t>
      </w:r>
    </w:p>
    <w:p w14:paraId="7D1B81B2" w14:textId="77777777" w:rsidR="00556CAD" w:rsidRPr="00556CAD" w:rsidRDefault="00556CAD" w:rsidP="00676076">
      <w:pPr>
        <w:rPr>
          <w:rFonts w:ascii="Verdana" w:hAnsi="Verdana"/>
          <w:sz w:val="22"/>
          <w:szCs w:val="22"/>
        </w:rPr>
      </w:pPr>
    </w:p>
    <w:p w14:paraId="1E417E24" w14:textId="77777777" w:rsidR="00A46DE9" w:rsidRPr="002B67CD" w:rsidRDefault="00A46DE9" w:rsidP="00A46DE9">
      <w:pPr>
        <w:pStyle w:val="Heading4"/>
        <w:spacing w:after="240"/>
        <w:rPr>
          <w:rFonts w:ascii="Verdana" w:hAnsi="Verdana"/>
          <w:sz w:val="22"/>
          <w:szCs w:val="22"/>
        </w:rPr>
      </w:pPr>
      <w:r w:rsidRPr="002B67CD">
        <w:rPr>
          <w:rFonts w:ascii="Verdana" w:hAnsi="Verdana"/>
          <w:sz w:val="22"/>
          <w:szCs w:val="22"/>
        </w:rPr>
        <w:t>Future updates</w:t>
      </w:r>
    </w:p>
    <w:p w14:paraId="46EC9A65" w14:textId="27AE18BF" w:rsidR="00556CAD" w:rsidRPr="006F5960" w:rsidRDefault="00C37EB8" w:rsidP="006F5960">
      <w:pPr>
        <w:rPr>
          <w:rFonts w:ascii="Verdana" w:hAnsi="Verdana"/>
          <w:sz w:val="22"/>
          <w:szCs w:val="22"/>
        </w:rPr>
      </w:pPr>
      <w:r w:rsidRPr="002B67CD">
        <w:rPr>
          <w:rFonts w:ascii="Verdana" w:hAnsi="Verdana"/>
          <w:sz w:val="22"/>
          <w:szCs w:val="22"/>
        </w:rPr>
        <w:t>In addition to</w:t>
      </w:r>
      <w:r w:rsidR="00D22A0C" w:rsidRPr="002B67CD">
        <w:rPr>
          <w:rFonts w:ascii="Verdana" w:hAnsi="Verdana"/>
          <w:sz w:val="22"/>
          <w:szCs w:val="22"/>
        </w:rPr>
        <w:t xml:space="preserve"> quarterly </w:t>
      </w:r>
      <w:r w:rsidR="004568B8" w:rsidRPr="002B67CD">
        <w:rPr>
          <w:rFonts w:ascii="Verdana" w:hAnsi="Verdana"/>
          <w:sz w:val="22"/>
          <w:szCs w:val="22"/>
        </w:rPr>
        <w:t>updates of the underlying project data, m</w:t>
      </w:r>
      <w:r w:rsidR="00A46DE9" w:rsidRPr="002B67CD">
        <w:rPr>
          <w:rFonts w:ascii="Verdana" w:hAnsi="Verdana"/>
          <w:sz w:val="22"/>
          <w:szCs w:val="22"/>
        </w:rPr>
        <w:t xml:space="preserve">ajor updates to this tool will take place after the </w:t>
      </w:r>
      <w:r w:rsidR="00134F51" w:rsidRPr="002B67CD">
        <w:rPr>
          <w:rFonts w:ascii="Verdana" w:hAnsi="Verdana"/>
          <w:sz w:val="22"/>
          <w:szCs w:val="22"/>
        </w:rPr>
        <w:t xml:space="preserve">ECITB </w:t>
      </w:r>
      <w:r w:rsidR="00A46DE9" w:rsidRPr="002B67CD">
        <w:rPr>
          <w:rFonts w:ascii="Verdana" w:hAnsi="Verdana"/>
          <w:sz w:val="22"/>
          <w:szCs w:val="22"/>
        </w:rPr>
        <w:t>2024 ECI Workforce Census. One of the main objectives of this project will be to update the underlying labour coefficients and provide a higher level of detail and accuracy. New types of data, particularly regarding occupational and sectoral breakdowns, will be published accordingly.</w:t>
      </w:r>
      <w:r w:rsidR="0061220F" w:rsidRPr="002B67CD">
        <w:rPr>
          <w:rFonts w:ascii="Verdana" w:hAnsi="Verdana"/>
          <w:sz w:val="22"/>
          <w:szCs w:val="22"/>
        </w:rPr>
        <w:t xml:space="preserve"> A particular focus will be </w:t>
      </w:r>
      <w:r w:rsidR="00ED0FF9" w:rsidRPr="002B67CD">
        <w:rPr>
          <w:rFonts w:ascii="Verdana" w:hAnsi="Verdana"/>
          <w:sz w:val="22"/>
          <w:szCs w:val="22"/>
        </w:rPr>
        <w:t xml:space="preserve">made on ensuring activity from UK based companies on projects abroad </w:t>
      </w:r>
      <w:r w:rsidR="009743F9" w:rsidRPr="002B67CD">
        <w:rPr>
          <w:rFonts w:ascii="Verdana" w:hAnsi="Verdana"/>
          <w:sz w:val="22"/>
          <w:szCs w:val="22"/>
        </w:rPr>
        <w:t xml:space="preserve">is correctly captured, as well as </w:t>
      </w:r>
      <w:r w:rsidR="005C599B" w:rsidRPr="002B67CD">
        <w:rPr>
          <w:rFonts w:ascii="Verdana" w:hAnsi="Verdana"/>
          <w:sz w:val="22"/>
          <w:szCs w:val="22"/>
        </w:rPr>
        <w:t xml:space="preserve">improving data on maintenance and shutdowns. </w:t>
      </w:r>
    </w:p>
    <w:p w14:paraId="38E6E49A" w14:textId="77777777" w:rsidR="006F5960" w:rsidRPr="006F5960" w:rsidRDefault="006F5960" w:rsidP="006F5960"/>
    <w:p w14:paraId="525DE98C" w14:textId="6CA8527E" w:rsidR="002C5C20" w:rsidRPr="002B67CD" w:rsidRDefault="006029E7" w:rsidP="006029E7">
      <w:pPr>
        <w:pStyle w:val="Heading3"/>
        <w:rPr>
          <w:rFonts w:ascii="Verdana" w:hAnsi="Verdana"/>
          <w:sz w:val="24"/>
          <w:szCs w:val="24"/>
        </w:rPr>
      </w:pPr>
      <w:r w:rsidRPr="002B67CD">
        <w:rPr>
          <w:rFonts w:ascii="Verdana" w:hAnsi="Verdana"/>
          <w:sz w:val="24"/>
          <w:szCs w:val="24"/>
        </w:rPr>
        <w:t>Key findings</w:t>
      </w:r>
    </w:p>
    <w:p w14:paraId="4A803027" w14:textId="77777777" w:rsidR="00FB5A32" w:rsidRPr="002B67CD" w:rsidRDefault="00FB5A32" w:rsidP="00241AAF">
      <w:pPr>
        <w:rPr>
          <w:rFonts w:ascii="Verdana" w:hAnsi="Verdana"/>
          <w:b/>
          <w:bCs/>
          <w:sz w:val="22"/>
          <w:szCs w:val="22"/>
        </w:rPr>
      </w:pPr>
    </w:p>
    <w:p w14:paraId="7BAF9FF9" w14:textId="4FB4146B" w:rsidR="002C5C20" w:rsidRPr="002B67CD" w:rsidRDefault="002C5C20" w:rsidP="006029E7">
      <w:pPr>
        <w:pStyle w:val="Heading4"/>
        <w:rPr>
          <w:rFonts w:ascii="Verdana" w:hAnsi="Verdana"/>
          <w:sz w:val="22"/>
          <w:szCs w:val="22"/>
        </w:rPr>
      </w:pPr>
      <w:r w:rsidRPr="002B67CD">
        <w:rPr>
          <w:rFonts w:ascii="Verdana" w:hAnsi="Verdana"/>
          <w:sz w:val="22"/>
          <w:szCs w:val="22"/>
        </w:rPr>
        <w:t>Engineering construction industry</w:t>
      </w:r>
    </w:p>
    <w:p w14:paraId="58B401AA" w14:textId="77777777" w:rsidR="002C5C20" w:rsidRPr="002B67CD" w:rsidRDefault="002C5C20" w:rsidP="00241AAF">
      <w:pPr>
        <w:rPr>
          <w:rFonts w:ascii="Verdana" w:hAnsi="Verdana"/>
          <w:sz w:val="22"/>
          <w:szCs w:val="22"/>
        </w:rPr>
      </w:pPr>
    </w:p>
    <w:p w14:paraId="5406958F" w14:textId="32B47890" w:rsidR="002C5C20" w:rsidRPr="002B67CD" w:rsidRDefault="00A072C5" w:rsidP="002C5C20">
      <w:pPr>
        <w:pStyle w:val="ListParagraph"/>
        <w:numPr>
          <w:ilvl w:val="0"/>
          <w:numId w:val="28"/>
        </w:numPr>
        <w:rPr>
          <w:rFonts w:ascii="Verdana" w:hAnsi="Verdana"/>
          <w:sz w:val="22"/>
          <w:szCs w:val="22"/>
        </w:rPr>
      </w:pPr>
      <w:r w:rsidRPr="002B67CD">
        <w:rPr>
          <w:rFonts w:ascii="Verdana" w:hAnsi="Verdana"/>
          <w:sz w:val="22"/>
          <w:szCs w:val="22"/>
        </w:rPr>
        <w:t>Demand could peak as early as 2028, with around 40,000 additional workers needed on top of the existing supply</w:t>
      </w:r>
      <w:r w:rsidR="0016716E" w:rsidRPr="002B67CD">
        <w:rPr>
          <w:rFonts w:ascii="Verdana" w:hAnsi="Verdana"/>
          <w:sz w:val="22"/>
          <w:szCs w:val="22"/>
        </w:rPr>
        <w:t xml:space="preserve"> of 10</w:t>
      </w:r>
      <w:r w:rsidR="00827BF9" w:rsidRPr="002B67CD">
        <w:rPr>
          <w:rFonts w:ascii="Verdana" w:hAnsi="Verdana"/>
          <w:sz w:val="22"/>
          <w:szCs w:val="22"/>
        </w:rPr>
        <w:t>1</w:t>
      </w:r>
      <w:r w:rsidR="0016716E" w:rsidRPr="002B67CD">
        <w:rPr>
          <w:rFonts w:ascii="Verdana" w:hAnsi="Verdana"/>
          <w:sz w:val="22"/>
          <w:szCs w:val="22"/>
        </w:rPr>
        <w:t>,000</w:t>
      </w:r>
      <w:r w:rsidR="00187FBD" w:rsidRPr="002B67CD">
        <w:rPr>
          <w:rFonts w:ascii="Verdana" w:hAnsi="Verdana"/>
          <w:sz w:val="22"/>
          <w:szCs w:val="22"/>
        </w:rPr>
        <w:t xml:space="preserve">, </w:t>
      </w:r>
      <w:proofErr w:type="gramStart"/>
      <w:r w:rsidR="000E1610" w:rsidRPr="002B67CD">
        <w:rPr>
          <w:rFonts w:ascii="Verdana" w:hAnsi="Verdana"/>
          <w:sz w:val="22"/>
          <w:szCs w:val="22"/>
        </w:rPr>
        <w:t>taking into account</w:t>
      </w:r>
      <w:proofErr w:type="gramEnd"/>
      <w:r w:rsidR="000E1610" w:rsidRPr="002B67CD">
        <w:rPr>
          <w:rFonts w:ascii="Verdana" w:hAnsi="Verdana"/>
          <w:sz w:val="22"/>
          <w:szCs w:val="22"/>
        </w:rPr>
        <w:t xml:space="preserve"> </w:t>
      </w:r>
      <w:r w:rsidR="00187FBD" w:rsidRPr="002B67CD">
        <w:rPr>
          <w:rFonts w:ascii="Verdana" w:hAnsi="Verdana"/>
          <w:sz w:val="22"/>
          <w:szCs w:val="22"/>
        </w:rPr>
        <w:t>retirement</w:t>
      </w:r>
      <w:r w:rsidR="00E73AB4" w:rsidRPr="002B67CD">
        <w:rPr>
          <w:rFonts w:ascii="Verdana" w:hAnsi="Verdana"/>
          <w:sz w:val="22"/>
          <w:szCs w:val="22"/>
        </w:rPr>
        <w:t>s</w:t>
      </w:r>
      <w:r w:rsidRPr="002B67CD">
        <w:rPr>
          <w:rFonts w:ascii="Verdana" w:hAnsi="Verdana"/>
          <w:sz w:val="22"/>
          <w:szCs w:val="22"/>
        </w:rPr>
        <w:t>. This could represent a 2</w:t>
      </w:r>
      <w:r w:rsidR="00A75D50" w:rsidRPr="002B67CD">
        <w:rPr>
          <w:rFonts w:ascii="Verdana" w:hAnsi="Verdana"/>
          <w:sz w:val="22"/>
          <w:szCs w:val="22"/>
        </w:rPr>
        <w:t>8</w:t>
      </w:r>
      <w:r w:rsidRPr="002B67CD">
        <w:rPr>
          <w:rFonts w:ascii="Verdana" w:hAnsi="Verdana"/>
          <w:sz w:val="22"/>
          <w:szCs w:val="22"/>
        </w:rPr>
        <w:t>% increase in demand between 2023 and 2028.</w:t>
      </w:r>
    </w:p>
    <w:p w14:paraId="111C457F" w14:textId="77777777" w:rsidR="00AB488E" w:rsidRPr="002B67CD" w:rsidRDefault="00AB488E" w:rsidP="008D1F60">
      <w:pPr>
        <w:rPr>
          <w:rFonts w:ascii="Verdana" w:hAnsi="Verdana"/>
          <w:sz w:val="22"/>
          <w:szCs w:val="22"/>
        </w:rPr>
      </w:pPr>
    </w:p>
    <w:p w14:paraId="5AB3E656" w14:textId="1E4B43F5" w:rsidR="00956594" w:rsidRPr="002B67CD" w:rsidRDefault="000627E8" w:rsidP="000627E8">
      <w:pPr>
        <w:pStyle w:val="ListParagraph"/>
        <w:numPr>
          <w:ilvl w:val="0"/>
          <w:numId w:val="28"/>
        </w:numPr>
        <w:rPr>
          <w:rFonts w:ascii="Verdana" w:hAnsi="Verdana"/>
          <w:sz w:val="22"/>
          <w:szCs w:val="22"/>
        </w:rPr>
      </w:pPr>
      <w:r w:rsidRPr="002B67CD">
        <w:rPr>
          <w:rFonts w:ascii="Verdana" w:hAnsi="Verdana"/>
          <w:sz w:val="22"/>
          <w:szCs w:val="22"/>
        </w:rPr>
        <w:t xml:space="preserve">Should </w:t>
      </w:r>
      <w:r w:rsidR="00097307" w:rsidRPr="002B67CD">
        <w:rPr>
          <w:rFonts w:ascii="Verdana" w:hAnsi="Verdana"/>
          <w:sz w:val="22"/>
          <w:szCs w:val="22"/>
        </w:rPr>
        <w:t xml:space="preserve">labour </w:t>
      </w:r>
      <w:r w:rsidRPr="002B67CD">
        <w:rPr>
          <w:rFonts w:ascii="Verdana" w:hAnsi="Verdana"/>
          <w:sz w:val="22"/>
          <w:szCs w:val="22"/>
        </w:rPr>
        <w:t xml:space="preserve">demand be met each year, 2024 will be a pivotal year, with </w:t>
      </w:r>
      <w:r w:rsidR="004C5B9F" w:rsidRPr="002B67CD">
        <w:rPr>
          <w:rFonts w:ascii="Verdana" w:hAnsi="Verdana"/>
          <w:sz w:val="22"/>
          <w:szCs w:val="22"/>
        </w:rPr>
        <w:t>nearly 8</w:t>
      </w:r>
      <w:r w:rsidRPr="002B67CD">
        <w:rPr>
          <w:rFonts w:ascii="Verdana" w:hAnsi="Verdana"/>
          <w:sz w:val="22"/>
          <w:szCs w:val="22"/>
        </w:rPr>
        <w:t>,000</w:t>
      </w:r>
      <w:r w:rsidR="00B820D1" w:rsidRPr="002B67CD">
        <w:rPr>
          <w:rFonts w:ascii="Verdana" w:hAnsi="Verdana"/>
          <w:sz w:val="22"/>
          <w:szCs w:val="22"/>
        </w:rPr>
        <w:t xml:space="preserve"> additional</w:t>
      </w:r>
      <w:r w:rsidRPr="002B67CD">
        <w:rPr>
          <w:rFonts w:ascii="Verdana" w:hAnsi="Verdana"/>
          <w:sz w:val="22"/>
          <w:szCs w:val="22"/>
        </w:rPr>
        <w:t xml:space="preserve"> workers potentially needed to meet demand</w:t>
      </w:r>
      <w:r w:rsidR="00795312" w:rsidRPr="002B67CD">
        <w:rPr>
          <w:rFonts w:ascii="Verdana" w:hAnsi="Verdana"/>
          <w:sz w:val="22"/>
          <w:szCs w:val="22"/>
        </w:rPr>
        <w:t xml:space="preserve"> that year</w:t>
      </w:r>
      <w:r w:rsidR="00043893" w:rsidRPr="002B67CD">
        <w:rPr>
          <w:rFonts w:ascii="Verdana" w:hAnsi="Verdana"/>
          <w:sz w:val="22"/>
          <w:szCs w:val="22"/>
        </w:rPr>
        <w:t>.</w:t>
      </w:r>
      <w:r w:rsidR="006D0A95" w:rsidRPr="002B67CD">
        <w:rPr>
          <w:rFonts w:ascii="Verdana" w:hAnsi="Verdana"/>
          <w:sz w:val="22"/>
          <w:szCs w:val="22"/>
        </w:rPr>
        <w:t xml:space="preserve"> 40% of </w:t>
      </w:r>
      <w:r w:rsidR="00282C3A" w:rsidRPr="002B67CD">
        <w:rPr>
          <w:rFonts w:ascii="Verdana" w:hAnsi="Verdana"/>
          <w:sz w:val="22"/>
          <w:szCs w:val="22"/>
        </w:rPr>
        <w:t>them</w:t>
      </w:r>
      <w:r w:rsidR="006D0A95" w:rsidRPr="002B67CD">
        <w:rPr>
          <w:rFonts w:ascii="Verdana" w:hAnsi="Verdana"/>
          <w:sz w:val="22"/>
          <w:szCs w:val="22"/>
        </w:rPr>
        <w:t xml:space="preserve"> </w:t>
      </w:r>
      <w:r w:rsidR="00043893" w:rsidRPr="002B67CD">
        <w:rPr>
          <w:rFonts w:ascii="Verdana" w:hAnsi="Verdana"/>
          <w:sz w:val="22"/>
          <w:szCs w:val="22"/>
        </w:rPr>
        <w:t xml:space="preserve">could be </w:t>
      </w:r>
      <w:r w:rsidR="00282C3A" w:rsidRPr="002B67CD">
        <w:rPr>
          <w:rFonts w:ascii="Verdana" w:hAnsi="Verdana"/>
          <w:sz w:val="22"/>
          <w:szCs w:val="22"/>
        </w:rPr>
        <w:t>required</w:t>
      </w:r>
      <w:r w:rsidR="006D1099" w:rsidRPr="002B67CD">
        <w:rPr>
          <w:rFonts w:ascii="Verdana" w:hAnsi="Verdana"/>
          <w:sz w:val="22"/>
          <w:szCs w:val="22"/>
        </w:rPr>
        <w:t xml:space="preserve"> to work on offshore wind projects</w:t>
      </w:r>
      <w:r w:rsidR="00043893" w:rsidRPr="002B67CD">
        <w:rPr>
          <w:rFonts w:ascii="Verdana" w:hAnsi="Verdana"/>
          <w:sz w:val="22"/>
          <w:szCs w:val="22"/>
        </w:rPr>
        <w:t>. A further 2</w:t>
      </w:r>
      <w:r w:rsidR="003A5298" w:rsidRPr="002B67CD">
        <w:rPr>
          <w:rFonts w:ascii="Verdana" w:hAnsi="Verdana"/>
          <w:sz w:val="22"/>
          <w:szCs w:val="22"/>
        </w:rPr>
        <w:t>5</w:t>
      </w:r>
      <w:r w:rsidR="00043893" w:rsidRPr="002B67CD">
        <w:rPr>
          <w:rFonts w:ascii="Verdana" w:hAnsi="Verdana"/>
          <w:sz w:val="22"/>
          <w:szCs w:val="22"/>
        </w:rPr>
        <w:t>% coul</w:t>
      </w:r>
      <w:r w:rsidR="00490D35" w:rsidRPr="002B67CD">
        <w:rPr>
          <w:rFonts w:ascii="Verdana" w:hAnsi="Verdana"/>
          <w:sz w:val="22"/>
          <w:szCs w:val="22"/>
        </w:rPr>
        <w:t xml:space="preserve">d work on the </w:t>
      </w:r>
      <w:r w:rsidR="00221E7D" w:rsidRPr="002B67CD">
        <w:rPr>
          <w:rFonts w:ascii="Verdana" w:hAnsi="Verdana"/>
          <w:sz w:val="22"/>
          <w:szCs w:val="22"/>
        </w:rPr>
        <w:t xml:space="preserve">pre-construction phases of hydrogen </w:t>
      </w:r>
      <w:r w:rsidR="003A5298" w:rsidRPr="002B67CD">
        <w:rPr>
          <w:rFonts w:ascii="Verdana" w:hAnsi="Verdana"/>
          <w:sz w:val="22"/>
          <w:szCs w:val="22"/>
        </w:rPr>
        <w:t xml:space="preserve">and carbon capture </w:t>
      </w:r>
      <w:r w:rsidR="00221E7D" w:rsidRPr="002B67CD">
        <w:rPr>
          <w:rFonts w:ascii="Verdana" w:hAnsi="Verdana"/>
          <w:sz w:val="22"/>
          <w:szCs w:val="22"/>
        </w:rPr>
        <w:t>projects</w:t>
      </w:r>
      <w:r w:rsidR="00D858FC" w:rsidRPr="002B67CD">
        <w:rPr>
          <w:rFonts w:ascii="Verdana" w:hAnsi="Verdana"/>
          <w:sz w:val="22"/>
          <w:szCs w:val="22"/>
        </w:rPr>
        <w:t>.</w:t>
      </w:r>
      <w:r w:rsidRPr="002B67CD">
        <w:rPr>
          <w:rFonts w:ascii="Verdana" w:hAnsi="Verdana"/>
          <w:sz w:val="22"/>
          <w:szCs w:val="22"/>
        </w:rPr>
        <w:t xml:space="preserve"> Failure to meet demand in 2024 could lead to delays and could shift the pressure to subsequent years. </w:t>
      </w:r>
      <w:r w:rsidR="00BF142D" w:rsidRPr="002B67CD">
        <w:rPr>
          <w:rFonts w:ascii="Verdana" w:hAnsi="Verdana"/>
          <w:sz w:val="22"/>
          <w:szCs w:val="22"/>
        </w:rPr>
        <w:t xml:space="preserve">This could ultimately push the peak back, which in turn would have an impact on the </w:t>
      </w:r>
      <w:r w:rsidR="00BA34CC" w:rsidRPr="002B67CD">
        <w:rPr>
          <w:rFonts w:ascii="Verdana" w:hAnsi="Verdana"/>
          <w:sz w:val="22"/>
          <w:szCs w:val="22"/>
        </w:rPr>
        <w:t xml:space="preserve">delivery of projects which underpin the UK’s </w:t>
      </w:r>
      <w:r w:rsidR="00BF142D" w:rsidRPr="002B67CD">
        <w:rPr>
          <w:rFonts w:ascii="Verdana" w:hAnsi="Verdana"/>
          <w:sz w:val="22"/>
          <w:szCs w:val="22"/>
        </w:rPr>
        <w:t xml:space="preserve">Net Zero </w:t>
      </w:r>
      <w:r w:rsidR="002B7A8E" w:rsidRPr="002B67CD">
        <w:rPr>
          <w:rFonts w:ascii="Verdana" w:hAnsi="Verdana"/>
          <w:sz w:val="22"/>
          <w:szCs w:val="22"/>
        </w:rPr>
        <w:t>commitments</w:t>
      </w:r>
      <w:r w:rsidR="00BF142D" w:rsidRPr="002B67CD">
        <w:rPr>
          <w:rFonts w:ascii="Verdana" w:hAnsi="Verdana"/>
          <w:sz w:val="22"/>
          <w:szCs w:val="22"/>
        </w:rPr>
        <w:t>.</w:t>
      </w:r>
    </w:p>
    <w:p w14:paraId="1E1B6A3E" w14:textId="77777777" w:rsidR="000627E8" w:rsidRPr="002B67CD" w:rsidRDefault="000627E8" w:rsidP="00241AAF">
      <w:pPr>
        <w:rPr>
          <w:rFonts w:ascii="Verdana" w:hAnsi="Verdana"/>
          <w:sz w:val="22"/>
          <w:szCs w:val="22"/>
        </w:rPr>
      </w:pPr>
    </w:p>
    <w:p w14:paraId="307605E8" w14:textId="50978F15" w:rsidR="00023B27" w:rsidRPr="006F5960" w:rsidRDefault="00C3371D" w:rsidP="00241AAF">
      <w:pPr>
        <w:pStyle w:val="ListParagraph"/>
        <w:numPr>
          <w:ilvl w:val="0"/>
          <w:numId w:val="28"/>
        </w:numPr>
        <w:rPr>
          <w:rFonts w:ascii="Verdana" w:hAnsi="Verdana"/>
          <w:sz w:val="22"/>
          <w:szCs w:val="22"/>
        </w:rPr>
      </w:pPr>
      <w:r w:rsidRPr="002B67CD">
        <w:rPr>
          <w:rFonts w:ascii="Verdana" w:hAnsi="Verdana"/>
          <w:sz w:val="22"/>
          <w:szCs w:val="22"/>
        </w:rPr>
        <w:t xml:space="preserve">The situation </w:t>
      </w:r>
      <w:r w:rsidR="008F4501" w:rsidRPr="002B67CD">
        <w:rPr>
          <w:rFonts w:ascii="Verdana" w:hAnsi="Verdana"/>
          <w:sz w:val="22"/>
          <w:szCs w:val="22"/>
        </w:rPr>
        <w:t>is predicted to</w:t>
      </w:r>
      <w:r w:rsidRPr="002B67CD">
        <w:rPr>
          <w:rFonts w:ascii="Verdana" w:hAnsi="Verdana"/>
          <w:sz w:val="22"/>
          <w:szCs w:val="22"/>
        </w:rPr>
        <w:t xml:space="preserve"> ease after the peak. However, demand would reach a plateau and remain above 2023 levels (+1</w:t>
      </w:r>
      <w:r w:rsidR="00C021C8" w:rsidRPr="002B67CD">
        <w:rPr>
          <w:rFonts w:ascii="Verdana" w:hAnsi="Verdana"/>
          <w:sz w:val="22"/>
          <w:szCs w:val="22"/>
        </w:rPr>
        <w:t>5</w:t>
      </w:r>
      <w:r w:rsidRPr="002B67CD">
        <w:rPr>
          <w:rFonts w:ascii="Verdana" w:hAnsi="Verdana"/>
          <w:sz w:val="22"/>
          <w:szCs w:val="22"/>
        </w:rPr>
        <w:t>% on average)</w:t>
      </w:r>
      <w:r w:rsidR="00FD01EC" w:rsidRPr="002B67CD">
        <w:rPr>
          <w:rFonts w:ascii="Verdana" w:hAnsi="Verdana"/>
          <w:sz w:val="22"/>
          <w:szCs w:val="22"/>
        </w:rPr>
        <w:t xml:space="preserve"> at least until 2035</w:t>
      </w:r>
      <w:r w:rsidRPr="002B67CD">
        <w:rPr>
          <w:rFonts w:ascii="Verdana" w:hAnsi="Verdana"/>
          <w:sz w:val="22"/>
          <w:szCs w:val="22"/>
        </w:rPr>
        <w:t>.</w:t>
      </w:r>
    </w:p>
    <w:p w14:paraId="755575CA" w14:textId="77777777" w:rsidR="00510313" w:rsidRPr="002B67CD" w:rsidRDefault="00510313" w:rsidP="00241AAF">
      <w:pPr>
        <w:rPr>
          <w:rFonts w:ascii="Verdana" w:hAnsi="Verdana"/>
          <w:sz w:val="22"/>
          <w:szCs w:val="22"/>
        </w:rPr>
      </w:pPr>
    </w:p>
    <w:p w14:paraId="45C1B992" w14:textId="77777777" w:rsidR="00023B27" w:rsidRPr="002B67CD" w:rsidRDefault="00023B27" w:rsidP="00BE15FF">
      <w:pPr>
        <w:pStyle w:val="Heading4"/>
        <w:rPr>
          <w:rFonts w:ascii="Verdana" w:hAnsi="Verdana"/>
          <w:sz w:val="22"/>
          <w:szCs w:val="22"/>
        </w:rPr>
      </w:pPr>
      <w:r w:rsidRPr="002B67CD">
        <w:rPr>
          <w:rFonts w:ascii="Verdana" w:hAnsi="Verdana"/>
          <w:sz w:val="22"/>
          <w:szCs w:val="22"/>
        </w:rPr>
        <w:t>Oil and gas</w:t>
      </w:r>
    </w:p>
    <w:p w14:paraId="33F8E910" w14:textId="77777777" w:rsidR="00023B27" w:rsidRPr="002B67CD" w:rsidRDefault="00023B27" w:rsidP="00023B27">
      <w:pPr>
        <w:rPr>
          <w:rFonts w:ascii="Verdana" w:hAnsi="Verdana"/>
          <w:sz w:val="22"/>
          <w:szCs w:val="22"/>
        </w:rPr>
      </w:pPr>
    </w:p>
    <w:p w14:paraId="18395D7D" w14:textId="22C989EF" w:rsidR="00023B27" w:rsidRPr="002B67CD" w:rsidRDefault="001D3CB9" w:rsidP="001D3CB9">
      <w:pPr>
        <w:pStyle w:val="ListParagraph"/>
        <w:numPr>
          <w:ilvl w:val="0"/>
          <w:numId w:val="29"/>
        </w:numPr>
        <w:rPr>
          <w:rFonts w:ascii="Verdana" w:hAnsi="Verdana"/>
          <w:sz w:val="22"/>
          <w:szCs w:val="22"/>
        </w:rPr>
      </w:pPr>
      <w:r w:rsidRPr="002B67CD">
        <w:rPr>
          <w:rFonts w:ascii="Verdana" w:hAnsi="Verdana"/>
          <w:sz w:val="22"/>
          <w:szCs w:val="22"/>
        </w:rPr>
        <w:t xml:space="preserve">The oil and gas sector </w:t>
      </w:r>
      <w:proofErr w:type="gramStart"/>
      <w:r w:rsidRPr="002B67CD">
        <w:rPr>
          <w:rFonts w:ascii="Verdana" w:hAnsi="Verdana"/>
          <w:sz w:val="22"/>
          <w:szCs w:val="22"/>
        </w:rPr>
        <w:t>is</w:t>
      </w:r>
      <w:proofErr w:type="gramEnd"/>
      <w:r w:rsidRPr="002B67CD">
        <w:rPr>
          <w:rFonts w:ascii="Verdana" w:hAnsi="Verdana"/>
          <w:sz w:val="22"/>
          <w:szCs w:val="22"/>
        </w:rPr>
        <w:t xml:space="preserve"> the largest in </w:t>
      </w:r>
      <w:r w:rsidR="0093008E" w:rsidRPr="002B67CD">
        <w:rPr>
          <w:rFonts w:ascii="Verdana" w:hAnsi="Verdana"/>
          <w:sz w:val="22"/>
          <w:szCs w:val="22"/>
        </w:rPr>
        <w:t>which engineering construction contractors operate</w:t>
      </w:r>
      <w:r w:rsidRPr="002B67CD">
        <w:rPr>
          <w:rFonts w:ascii="Verdana" w:hAnsi="Verdana"/>
          <w:sz w:val="22"/>
          <w:szCs w:val="22"/>
        </w:rPr>
        <w:t xml:space="preserve">, accounting for 32% of the </w:t>
      </w:r>
      <w:r w:rsidR="0093008E" w:rsidRPr="002B67CD">
        <w:rPr>
          <w:rFonts w:ascii="Verdana" w:hAnsi="Verdana"/>
          <w:sz w:val="22"/>
          <w:szCs w:val="22"/>
        </w:rPr>
        <w:t xml:space="preserve">ECI </w:t>
      </w:r>
      <w:r w:rsidRPr="002B67CD">
        <w:rPr>
          <w:rFonts w:ascii="Verdana" w:hAnsi="Verdana"/>
          <w:sz w:val="22"/>
          <w:szCs w:val="22"/>
        </w:rPr>
        <w:t xml:space="preserve">workforce in 2023. However, a </w:t>
      </w:r>
      <w:r w:rsidR="003F574D" w:rsidRPr="002B67CD">
        <w:rPr>
          <w:rFonts w:ascii="Verdana" w:hAnsi="Verdana"/>
          <w:sz w:val="22"/>
          <w:szCs w:val="22"/>
        </w:rPr>
        <w:t xml:space="preserve">gradual </w:t>
      </w:r>
      <w:r w:rsidRPr="002B67CD">
        <w:rPr>
          <w:rFonts w:ascii="Verdana" w:hAnsi="Verdana"/>
          <w:sz w:val="22"/>
          <w:szCs w:val="22"/>
        </w:rPr>
        <w:t>decline in North Sea oil and gas activity</w:t>
      </w:r>
      <w:r w:rsidR="007E5964" w:rsidRPr="002B67CD">
        <w:rPr>
          <w:rFonts w:ascii="Verdana" w:hAnsi="Verdana"/>
          <w:sz w:val="22"/>
          <w:szCs w:val="22"/>
        </w:rPr>
        <w:t xml:space="preserve"> due to</w:t>
      </w:r>
      <w:r w:rsidR="00590440" w:rsidRPr="002B67CD">
        <w:rPr>
          <w:rFonts w:ascii="Verdana" w:hAnsi="Verdana"/>
          <w:sz w:val="22"/>
          <w:szCs w:val="22"/>
        </w:rPr>
        <w:t xml:space="preserve"> production decline</w:t>
      </w:r>
      <w:r w:rsidRPr="002B67CD">
        <w:rPr>
          <w:rFonts w:ascii="Verdana" w:hAnsi="Verdana"/>
          <w:sz w:val="22"/>
          <w:szCs w:val="22"/>
        </w:rPr>
        <w:t xml:space="preserve">, combined with a rise in other engineering sectors, could see the oil and gas sector's share of the </w:t>
      </w:r>
      <w:r w:rsidR="008F4501" w:rsidRPr="002B67CD">
        <w:rPr>
          <w:rFonts w:ascii="Verdana" w:hAnsi="Verdana"/>
          <w:sz w:val="22"/>
          <w:szCs w:val="22"/>
        </w:rPr>
        <w:t xml:space="preserve">overall ECI </w:t>
      </w:r>
      <w:r w:rsidRPr="002B67CD">
        <w:rPr>
          <w:rFonts w:ascii="Verdana" w:hAnsi="Verdana"/>
          <w:sz w:val="22"/>
          <w:szCs w:val="22"/>
        </w:rPr>
        <w:t>workforce fall to 20% by 2035.</w:t>
      </w:r>
    </w:p>
    <w:p w14:paraId="3B75418B" w14:textId="77777777" w:rsidR="001D3CB9" w:rsidRPr="002B67CD" w:rsidRDefault="001D3CB9" w:rsidP="001D3CB9">
      <w:pPr>
        <w:rPr>
          <w:rFonts w:ascii="Verdana" w:hAnsi="Verdana"/>
          <w:sz w:val="22"/>
          <w:szCs w:val="22"/>
        </w:rPr>
      </w:pPr>
    </w:p>
    <w:p w14:paraId="608CDD8D" w14:textId="04DBBD32" w:rsidR="00023B27" w:rsidRPr="002B67CD" w:rsidRDefault="008C6F23" w:rsidP="008C6F23">
      <w:pPr>
        <w:pStyle w:val="ListParagraph"/>
        <w:numPr>
          <w:ilvl w:val="0"/>
          <w:numId w:val="29"/>
        </w:numPr>
        <w:rPr>
          <w:rFonts w:ascii="Verdana" w:hAnsi="Verdana"/>
          <w:sz w:val="22"/>
          <w:szCs w:val="22"/>
        </w:rPr>
      </w:pPr>
      <w:r w:rsidRPr="002B67CD">
        <w:rPr>
          <w:rFonts w:ascii="Verdana" w:hAnsi="Verdana"/>
          <w:sz w:val="22"/>
          <w:szCs w:val="22"/>
        </w:rPr>
        <w:t>Oil and gas activity could shift significantly from the North Sea to the Atlantic Ocean, understood here as a large area encompassing the west of Shetland where most of this activity will take place. Projects in this region could drive up to 20% of the demand for labour in the oil and gas sector by 2035.</w:t>
      </w:r>
    </w:p>
    <w:p w14:paraId="6C1299E7" w14:textId="77777777" w:rsidR="008954B6" w:rsidRPr="002B67CD" w:rsidRDefault="008954B6" w:rsidP="008954B6">
      <w:pPr>
        <w:ind w:left="360"/>
        <w:rPr>
          <w:rFonts w:ascii="Verdana" w:hAnsi="Verdana"/>
          <w:sz w:val="22"/>
          <w:szCs w:val="22"/>
        </w:rPr>
      </w:pPr>
    </w:p>
    <w:p w14:paraId="342C5750" w14:textId="2E4BCA0C" w:rsidR="00023B27" w:rsidRPr="002B67CD" w:rsidRDefault="008954B6" w:rsidP="008954B6">
      <w:pPr>
        <w:pStyle w:val="ListParagraph"/>
        <w:numPr>
          <w:ilvl w:val="0"/>
          <w:numId w:val="28"/>
        </w:numPr>
        <w:rPr>
          <w:rFonts w:ascii="Verdana" w:hAnsi="Verdana"/>
          <w:sz w:val="22"/>
          <w:szCs w:val="22"/>
        </w:rPr>
      </w:pPr>
      <w:r w:rsidRPr="002B67CD">
        <w:rPr>
          <w:rFonts w:ascii="Verdana" w:hAnsi="Verdana"/>
          <w:sz w:val="22"/>
          <w:szCs w:val="22"/>
        </w:rPr>
        <w:t>The workforce could continue to grow until 2025, before experiencing a sustained decline. However, it is important to note that the oil and gas sector is undoubtedly the most volatile sector</w:t>
      </w:r>
      <w:r w:rsidR="00881937" w:rsidRPr="002B67CD">
        <w:rPr>
          <w:rFonts w:ascii="Verdana" w:hAnsi="Verdana"/>
          <w:sz w:val="22"/>
          <w:szCs w:val="22"/>
        </w:rPr>
        <w:t xml:space="preserve"> in which ECI companies operate</w:t>
      </w:r>
      <w:r w:rsidRPr="002B67CD">
        <w:rPr>
          <w:rFonts w:ascii="Verdana" w:hAnsi="Verdana"/>
          <w:sz w:val="22"/>
          <w:szCs w:val="22"/>
        </w:rPr>
        <w:t xml:space="preserve">. The robustness of oil and gas </w:t>
      </w:r>
      <w:r w:rsidRPr="002B67CD">
        <w:rPr>
          <w:rFonts w:ascii="Verdana" w:hAnsi="Verdana"/>
          <w:sz w:val="22"/>
          <w:szCs w:val="22"/>
        </w:rPr>
        <w:lastRenderedPageBreak/>
        <w:t xml:space="preserve">price forecasts has always been </w:t>
      </w:r>
      <w:r w:rsidR="009253AB" w:rsidRPr="002B67CD">
        <w:rPr>
          <w:rFonts w:ascii="Verdana" w:hAnsi="Verdana"/>
          <w:sz w:val="22"/>
          <w:szCs w:val="22"/>
        </w:rPr>
        <w:t>limited</w:t>
      </w:r>
      <w:r w:rsidRPr="002B67CD">
        <w:rPr>
          <w:rFonts w:ascii="Verdana" w:hAnsi="Verdana"/>
          <w:sz w:val="22"/>
          <w:szCs w:val="22"/>
        </w:rPr>
        <w:t>, and price changes can radically alter the picture.</w:t>
      </w:r>
    </w:p>
    <w:p w14:paraId="643FA952" w14:textId="77777777" w:rsidR="008954B6" w:rsidRPr="002B67CD" w:rsidRDefault="008954B6" w:rsidP="00023B27">
      <w:pPr>
        <w:pStyle w:val="ListParagraph"/>
        <w:rPr>
          <w:rFonts w:ascii="Verdana" w:hAnsi="Verdana"/>
          <w:sz w:val="22"/>
          <w:szCs w:val="22"/>
        </w:rPr>
      </w:pPr>
    </w:p>
    <w:p w14:paraId="5D8D3560" w14:textId="059CCA69" w:rsidR="00023B27" w:rsidRPr="002B67CD" w:rsidRDefault="00421E42" w:rsidP="00421E42">
      <w:pPr>
        <w:pStyle w:val="ListParagraph"/>
        <w:numPr>
          <w:ilvl w:val="0"/>
          <w:numId w:val="28"/>
        </w:numPr>
        <w:rPr>
          <w:rFonts w:ascii="Verdana" w:hAnsi="Verdana"/>
          <w:sz w:val="22"/>
          <w:szCs w:val="22"/>
        </w:rPr>
      </w:pPr>
      <w:r w:rsidRPr="002B67CD">
        <w:rPr>
          <w:rFonts w:ascii="Verdana" w:hAnsi="Verdana"/>
          <w:sz w:val="22"/>
          <w:szCs w:val="22"/>
        </w:rPr>
        <w:t xml:space="preserve">The expected longer-term decline in the oil and gas workforce could be instrumental in delivering projects in other sectors, </w:t>
      </w:r>
      <w:r w:rsidR="00E362CD" w:rsidRPr="002B67CD">
        <w:rPr>
          <w:rFonts w:ascii="Verdana" w:hAnsi="Verdana"/>
          <w:sz w:val="22"/>
          <w:szCs w:val="22"/>
        </w:rPr>
        <w:t xml:space="preserve">potentially </w:t>
      </w:r>
      <w:r w:rsidRPr="002B67CD">
        <w:rPr>
          <w:rFonts w:ascii="Verdana" w:hAnsi="Verdana"/>
          <w:sz w:val="22"/>
          <w:szCs w:val="22"/>
        </w:rPr>
        <w:t>helping to alleviate labour market pressures where skills are transferable.</w:t>
      </w:r>
    </w:p>
    <w:p w14:paraId="69EBCEB5" w14:textId="77777777" w:rsidR="00510313" w:rsidRPr="002B67CD" w:rsidRDefault="00510313" w:rsidP="00241AAF">
      <w:pPr>
        <w:rPr>
          <w:rFonts w:ascii="Verdana" w:hAnsi="Verdana"/>
          <w:sz w:val="22"/>
          <w:szCs w:val="22"/>
        </w:rPr>
      </w:pPr>
    </w:p>
    <w:p w14:paraId="770954FF" w14:textId="14FE7003" w:rsidR="003710B2" w:rsidRPr="002B67CD" w:rsidRDefault="003710B2" w:rsidP="00BE15FF">
      <w:pPr>
        <w:pStyle w:val="Heading4"/>
        <w:rPr>
          <w:rFonts w:ascii="Verdana" w:hAnsi="Verdana"/>
          <w:sz w:val="22"/>
          <w:szCs w:val="22"/>
        </w:rPr>
      </w:pPr>
      <w:r w:rsidRPr="002B67CD">
        <w:rPr>
          <w:rFonts w:ascii="Verdana" w:hAnsi="Verdana"/>
          <w:sz w:val="22"/>
          <w:szCs w:val="22"/>
        </w:rPr>
        <w:t>Nuclear</w:t>
      </w:r>
    </w:p>
    <w:p w14:paraId="46B88DB6" w14:textId="77777777" w:rsidR="003710B2" w:rsidRPr="002B67CD" w:rsidRDefault="003710B2" w:rsidP="003710B2">
      <w:pPr>
        <w:rPr>
          <w:rFonts w:ascii="Verdana" w:hAnsi="Verdana"/>
          <w:sz w:val="22"/>
          <w:szCs w:val="22"/>
        </w:rPr>
      </w:pPr>
    </w:p>
    <w:p w14:paraId="622550AA" w14:textId="5E2E0619" w:rsidR="00D10467" w:rsidRPr="002B67CD" w:rsidRDefault="004A083C" w:rsidP="004A083C">
      <w:pPr>
        <w:pStyle w:val="ListParagraph"/>
        <w:numPr>
          <w:ilvl w:val="0"/>
          <w:numId w:val="30"/>
        </w:numPr>
        <w:rPr>
          <w:rFonts w:ascii="Verdana" w:hAnsi="Verdana"/>
          <w:sz w:val="22"/>
          <w:szCs w:val="22"/>
        </w:rPr>
      </w:pPr>
      <w:r w:rsidRPr="002B67CD">
        <w:rPr>
          <w:rFonts w:ascii="Verdana" w:hAnsi="Verdana"/>
          <w:sz w:val="22"/>
          <w:szCs w:val="22"/>
        </w:rPr>
        <w:t xml:space="preserve">The nuclear workforce could peak in 2028, with Hinkley Point C and Sizewell C </w:t>
      </w:r>
      <w:r w:rsidR="006C5161" w:rsidRPr="002B67CD">
        <w:rPr>
          <w:rFonts w:ascii="Verdana" w:hAnsi="Verdana"/>
          <w:sz w:val="22"/>
          <w:szCs w:val="22"/>
        </w:rPr>
        <w:t>simultaneously</w:t>
      </w:r>
      <w:r w:rsidRPr="002B67CD">
        <w:rPr>
          <w:rFonts w:ascii="Verdana" w:hAnsi="Verdana"/>
          <w:sz w:val="22"/>
          <w:szCs w:val="22"/>
        </w:rPr>
        <w:t xml:space="preserve"> expected to boost demand. This would represent an increase of almost 30% in demand for</w:t>
      </w:r>
      <w:r w:rsidR="00E86FCD" w:rsidRPr="002B67CD">
        <w:rPr>
          <w:rFonts w:ascii="Verdana" w:hAnsi="Verdana"/>
          <w:sz w:val="22"/>
          <w:szCs w:val="22"/>
        </w:rPr>
        <w:t xml:space="preserve"> engineering construction</w:t>
      </w:r>
      <w:r w:rsidRPr="002B67CD">
        <w:rPr>
          <w:rFonts w:ascii="Verdana" w:hAnsi="Verdana"/>
          <w:sz w:val="22"/>
          <w:szCs w:val="22"/>
        </w:rPr>
        <w:t xml:space="preserve"> workers in the sector compared with 2023.</w:t>
      </w:r>
    </w:p>
    <w:p w14:paraId="478A644B" w14:textId="77777777" w:rsidR="004A083C" w:rsidRPr="002B67CD" w:rsidRDefault="004A083C" w:rsidP="00D10467">
      <w:pPr>
        <w:rPr>
          <w:rFonts w:ascii="Verdana" w:hAnsi="Verdana"/>
          <w:sz w:val="22"/>
          <w:szCs w:val="22"/>
        </w:rPr>
      </w:pPr>
    </w:p>
    <w:p w14:paraId="7576265E" w14:textId="42BC058E" w:rsidR="00B34B37" w:rsidRPr="002B67CD" w:rsidRDefault="00BD1AA2" w:rsidP="00BD1AA2">
      <w:pPr>
        <w:pStyle w:val="ListParagraph"/>
        <w:numPr>
          <w:ilvl w:val="0"/>
          <w:numId w:val="30"/>
        </w:numPr>
        <w:rPr>
          <w:rFonts w:ascii="Verdana" w:hAnsi="Verdana"/>
          <w:sz w:val="22"/>
          <w:szCs w:val="22"/>
        </w:rPr>
      </w:pPr>
      <w:r w:rsidRPr="002B67CD">
        <w:rPr>
          <w:rFonts w:ascii="Verdana" w:hAnsi="Verdana"/>
          <w:sz w:val="22"/>
          <w:szCs w:val="22"/>
        </w:rPr>
        <w:t xml:space="preserve">Should a </w:t>
      </w:r>
      <w:r w:rsidR="00534966">
        <w:rPr>
          <w:rFonts w:ascii="Verdana" w:hAnsi="Verdana"/>
          <w:sz w:val="22"/>
          <w:szCs w:val="22"/>
        </w:rPr>
        <w:t xml:space="preserve">further </w:t>
      </w:r>
      <w:r w:rsidRPr="002B67CD">
        <w:rPr>
          <w:rFonts w:ascii="Verdana" w:hAnsi="Verdana"/>
          <w:sz w:val="22"/>
          <w:szCs w:val="22"/>
        </w:rPr>
        <w:t xml:space="preserve">new nuclear power station be built, the current </w:t>
      </w:r>
      <w:r w:rsidR="0097738A" w:rsidRPr="002B67CD">
        <w:rPr>
          <w:rFonts w:ascii="Verdana" w:hAnsi="Verdana"/>
          <w:sz w:val="22"/>
          <w:szCs w:val="22"/>
        </w:rPr>
        <w:t xml:space="preserve">planned operating </w:t>
      </w:r>
      <w:r w:rsidR="00B94637" w:rsidRPr="002B67CD">
        <w:rPr>
          <w:rFonts w:ascii="Verdana" w:hAnsi="Verdana"/>
          <w:sz w:val="22"/>
          <w:szCs w:val="22"/>
        </w:rPr>
        <w:t xml:space="preserve">dates suggest that </w:t>
      </w:r>
      <w:r w:rsidR="000F3029" w:rsidRPr="002B67CD">
        <w:rPr>
          <w:rFonts w:ascii="Verdana" w:hAnsi="Verdana"/>
          <w:sz w:val="22"/>
          <w:szCs w:val="22"/>
        </w:rPr>
        <w:t>demand</w:t>
      </w:r>
      <w:r w:rsidRPr="002B67CD">
        <w:rPr>
          <w:rFonts w:ascii="Verdana" w:hAnsi="Verdana"/>
          <w:sz w:val="22"/>
          <w:szCs w:val="22"/>
        </w:rPr>
        <w:t xml:space="preserve"> could coincide </w:t>
      </w:r>
      <w:r w:rsidR="00CA59B5" w:rsidRPr="002B67CD">
        <w:rPr>
          <w:rFonts w:ascii="Verdana" w:hAnsi="Verdana"/>
          <w:sz w:val="22"/>
          <w:szCs w:val="22"/>
        </w:rPr>
        <w:t xml:space="preserve">in part </w:t>
      </w:r>
      <w:r w:rsidRPr="002B67CD">
        <w:rPr>
          <w:rFonts w:ascii="Verdana" w:hAnsi="Verdana"/>
          <w:sz w:val="22"/>
          <w:szCs w:val="22"/>
        </w:rPr>
        <w:t xml:space="preserve">with </w:t>
      </w:r>
      <w:r w:rsidR="00BC5AA5" w:rsidRPr="002B67CD">
        <w:rPr>
          <w:rFonts w:ascii="Verdana" w:hAnsi="Verdana"/>
          <w:sz w:val="22"/>
          <w:szCs w:val="22"/>
        </w:rPr>
        <w:t>at least one of</w:t>
      </w:r>
      <w:r w:rsidRPr="002B67CD">
        <w:rPr>
          <w:rFonts w:ascii="Verdana" w:hAnsi="Verdana"/>
          <w:sz w:val="22"/>
          <w:szCs w:val="22"/>
        </w:rPr>
        <w:t xml:space="preserve"> EDF</w:t>
      </w:r>
      <w:r w:rsidR="00CA59B5" w:rsidRPr="002B67CD">
        <w:rPr>
          <w:rFonts w:ascii="Verdana" w:hAnsi="Verdana"/>
          <w:sz w:val="22"/>
          <w:szCs w:val="22"/>
        </w:rPr>
        <w:t>’s</w:t>
      </w:r>
      <w:r w:rsidRPr="002B67CD">
        <w:rPr>
          <w:rFonts w:ascii="Verdana" w:hAnsi="Verdana"/>
          <w:sz w:val="22"/>
          <w:szCs w:val="22"/>
        </w:rPr>
        <w:t xml:space="preserve"> projects mentioned above, thus further increasing pressure on the labour market.</w:t>
      </w:r>
    </w:p>
    <w:p w14:paraId="6896ACE5" w14:textId="77777777" w:rsidR="00BD1AA2" w:rsidRPr="002B67CD" w:rsidRDefault="00BD1AA2" w:rsidP="00B34B37">
      <w:pPr>
        <w:rPr>
          <w:rFonts w:ascii="Verdana" w:hAnsi="Verdana"/>
          <w:sz w:val="22"/>
          <w:szCs w:val="22"/>
        </w:rPr>
      </w:pPr>
    </w:p>
    <w:p w14:paraId="7ED36EA8" w14:textId="6AE55B07" w:rsidR="00715913" w:rsidRPr="002B67CD" w:rsidRDefault="00534966" w:rsidP="00534966">
      <w:pPr>
        <w:pStyle w:val="ListParagraph"/>
        <w:numPr>
          <w:ilvl w:val="0"/>
          <w:numId w:val="30"/>
        </w:numPr>
        <w:rPr>
          <w:rFonts w:ascii="Verdana" w:hAnsi="Verdana"/>
          <w:sz w:val="22"/>
          <w:szCs w:val="22"/>
        </w:rPr>
      </w:pPr>
      <w:r w:rsidRPr="00534966">
        <w:rPr>
          <w:rFonts w:ascii="Verdana" w:hAnsi="Verdana"/>
          <w:sz w:val="22"/>
          <w:szCs w:val="22"/>
        </w:rPr>
        <w:t>Decommissioning activity is likely to be steady across the period, although the sites involved will vary over time.</w:t>
      </w:r>
      <w:r>
        <w:rPr>
          <w:rFonts w:ascii="Verdana" w:hAnsi="Verdana"/>
          <w:sz w:val="22"/>
          <w:szCs w:val="22"/>
        </w:rPr>
        <w:br/>
      </w:r>
    </w:p>
    <w:p w14:paraId="159FF7AE" w14:textId="77777777" w:rsidR="00CE1727" w:rsidRPr="002B67CD" w:rsidRDefault="00CE1727" w:rsidP="00CE1727">
      <w:pPr>
        <w:pStyle w:val="ListParagraph"/>
        <w:numPr>
          <w:ilvl w:val="0"/>
          <w:numId w:val="30"/>
        </w:numPr>
        <w:rPr>
          <w:rFonts w:ascii="Verdana" w:hAnsi="Verdana"/>
          <w:sz w:val="22"/>
          <w:szCs w:val="22"/>
        </w:rPr>
      </w:pPr>
      <w:proofErr w:type="gramStart"/>
      <w:r w:rsidRPr="002B67CD">
        <w:rPr>
          <w:rFonts w:ascii="Verdana" w:hAnsi="Verdana"/>
          <w:sz w:val="22"/>
          <w:szCs w:val="22"/>
        </w:rPr>
        <w:t>Assuming that</w:t>
      </w:r>
      <w:proofErr w:type="gramEnd"/>
      <w:r w:rsidRPr="002B67CD">
        <w:rPr>
          <w:rFonts w:ascii="Verdana" w:hAnsi="Verdana"/>
          <w:sz w:val="22"/>
          <w:szCs w:val="22"/>
        </w:rPr>
        <w:t xml:space="preserve"> demand in 2028 is met, it could fall by 20% the following year. This means that the sector would have a supplement of at least 7,000 workers. This situation could help to offset recruitment difficulties in other </w:t>
      </w:r>
      <w:proofErr w:type="gramStart"/>
      <w:r w:rsidRPr="002B67CD">
        <w:rPr>
          <w:rFonts w:ascii="Verdana" w:hAnsi="Verdana"/>
          <w:sz w:val="22"/>
          <w:szCs w:val="22"/>
        </w:rPr>
        <w:t>sectors, or</w:t>
      </w:r>
      <w:proofErr w:type="gramEnd"/>
      <w:r w:rsidRPr="002B67CD">
        <w:rPr>
          <w:rFonts w:ascii="Verdana" w:hAnsi="Verdana"/>
          <w:sz w:val="22"/>
          <w:szCs w:val="22"/>
        </w:rPr>
        <w:t xml:space="preserve"> provide an incentive to increase investment in the sector, whether through the ramp-up of small modular reactors or the development of a new large nuclear power plant.</w:t>
      </w:r>
    </w:p>
    <w:p w14:paraId="5C245D04" w14:textId="104DF09E" w:rsidR="00510313" w:rsidRPr="002B67CD" w:rsidRDefault="00AF39FE" w:rsidP="001B676D">
      <w:pPr>
        <w:rPr>
          <w:rFonts w:ascii="Verdana" w:hAnsi="Verdana"/>
          <w:sz w:val="22"/>
          <w:szCs w:val="22"/>
        </w:rPr>
      </w:pPr>
      <w:r w:rsidRPr="002B67CD">
        <w:rPr>
          <w:rFonts w:ascii="Verdana" w:hAnsi="Verdana"/>
          <w:sz w:val="22"/>
          <w:szCs w:val="22"/>
        </w:rPr>
        <w:t xml:space="preserve"> </w:t>
      </w:r>
    </w:p>
    <w:p w14:paraId="516099B6" w14:textId="0E065CEC" w:rsidR="0029514B" w:rsidRPr="002B67CD" w:rsidRDefault="00DE728F" w:rsidP="00BE15FF">
      <w:pPr>
        <w:pStyle w:val="Heading4"/>
        <w:rPr>
          <w:rFonts w:ascii="Verdana" w:hAnsi="Verdana"/>
          <w:sz w:val="22"/>
          <w:szCs w:val="22"/>
        </w:rPr>
      </w:pPr>
      <w:r w:rsidRPr="002B67CD">
        <w:rPr>
          <w:rFonts w:ascii="Verdana" w:hAnsi="Verdana"/>
          <w:sz w:val="22"/>
          <w:szCs w:val="22"/>
        </w:rPr>
        <w:t>Renewables</w:t>
      </w:r>
    </w:p>
    <w:p w14:paraId="5F95A1C0" w14:textId="77777777" w:rsidR="00C775ED" w:rsidRPr="002B67CD" w:rsidRDefault="00C775ED" w:rsidP="0029514B">
      <w:pPr>
        <w:rPr>
          <w:rFonts w:ascii="Verdana" w:hAnsi="Verdana"/>
          <w:sz w:val="22"/>
          <w:szCs w:val="22"/>
        </w:rPr>
      </w:pPr>
    </w:p>
    <w:p w14:paraId="7FE7E514" w14:textId="633E07CD" w:rsidR="000D7A09" w:rsidRPr="002B67CD" w:rsidRDefault="00A963EF" w:rsidP="00A963EF">
      <w:pPr>
        <w:pStyle w:val="ListParagraph"/>
        <w:numPr>
          <w:ilvl w:val="0"/>
          <w:numId w:val="31"/>
        </w:numPr>
        <w:rPr>
          <w:rFonts w:ascii="Verdana" w:hAnsi="Verdana"/>
          <w:sz w:val="22"/>
          <w:szCs w:val="22"/>
        </w:rPr>
      </w:pPr>
      <w:r w:rsidRPr="002B67CD">
        <w:rPr>
          <w:rFonts w:ascii="Verdana" w:hAnsi="Verdana"/>
          <w:sz w:val="22"/>
          <w:szCs w:val="22"/>
        </w:rPr>
        <w:t xml:space="preserve">Offshore wind represents 86% of the </w:t>
      </w:r>
      <w:r w:rsidR="002C4B23" w:rsidRPr="002B67CD">
        <w:rPr>
          <w:rFonts w:ascii="Verdana" w:hAnsi="Verdana"/>
          <w:sz w:val="22"/>
          <w:szCs w:val="22"/>
        </w:rPr>
        <w:t xml:space="preserve">ECI </w:t>
      </w:r>
      <w:r w:rsidRPr="002B67CD">
        <w:rPr>
          <w:rFonts w:ascii="Verdana" w:hAnsi="Verdana"/>
          <w:sz w:val="22"/>
          <w:szCs w:val="22"/>
        </w:rPr>
        <w:t xml:space="preserve">workforce </w:t>
      </w:r>
      <w:r w:rsidR="002C4B23" w:rsidRPr="002B67CD">
        <w:rPr>
          <w:rFonts w:ascii="Verdana" w:hAnsi="Verdana"/>
          <w:sz w:val="22"/>
          <w:szCs w:val="22"/>
        </w:rPr>
        <w:t>i</w:t>
      </w:r>
      <w:r w:rsidRPr="002B67CD">
        <w:rPr>
          <w:rFonts w:ascii="Verdana" w:hAnsi="Verdana"/>
          <w:sz w:val="22"/>
          <w:szCs w:val="22"/>
        </w:rPr>
        <w:t>n the renewable energy sector in 2023. The offshore wind sector could see a 75% increase in demand between 2023 and 2030, with no significant reduction until at least 2035. In that year, it could account for 27% of the ECI workforce.</w:t>
      </w:r>
    </w:p>
    <w:p w14:paraId="7C1114A3" w14:textId="77777777" w:rsidR="00A963EF" w:rsidRPr="002B67CD" w:rsidRDefault="00A963EF" w:rsidP="000D7A09">
      <w:pPr>
        <w:rPr>
          <w:rFonts w:ascii="Verdana" w:hAnsi="Verdana"/>
          <w:sz w:val="22"/>
          <w:szCs w:val="22"/>
        </w:rPr>
      </w:pPr>
    </w:p>
    <w:p w14:paraId="35A554F6" w14:textId="28A3BC35" w:rsidR="000178C0" w:rsidRPr="002B67CD" w:rsidRDefault="000178C0" w:rsidP="000178C0">
      <w:pPr>
        <w:pStyle w:val="ListParagraph"/>
        <w:numPr>
          <w:ilvl w:val="0"/>
          <w:numId w:val="31"/>
        </w:numPr>
        <w:rPr>
          <w:rFonts w:ascii="Verdana" w:hAnsi="Verdana"/>
          <w:sz w:val="22"/>
          <w:szCs w:val="22"/>
        </w:rPr>
      </w:pPr>
      <w:r w:rsidRPr="002B67CD">
        <w:rPr>
          <w:rFonts w:ascii="Verdana" w:hAnsi="Verdana"/>
          <w:sz w:val="22"/>
          <w:szCs w:val="22"/>
        </w:rPr>
        <w:t>The Southern North Sea is the main hotspot for offshore wind in 2023, with 36% of demand resulting from activity in this area. By 2035, activity could have increased significantly in the Moray Firth (from 9% of demand in 2023 to 16% in 2023) and the Northern North Sea (from 5% to 26%).</w:t>
      </w:r>
    </w:p>
    <w:p w14:paraId="75C0A231" w14:textId="77777777" w:rsidR="000178C0" w:rsidRPr="002B67CD" w:rsidRDefault="000178C0" w:rsidP="000178C0">
      <w:pPr>
        <w:rPr>
          <w:rFonts w:ascii="Verdana" w:hAnsi="Verdana"/>
          <w:sz w:val="22"/>
          <w:szCs w:val="22"/>
        </w:rPr>
      </w:pPr>
    </w:p>
    <w:p w14:paraId="50F7C455" w14:textId="201568C8" w:rsidR="00F514D1" w:rsidRPr="002B67CD" w:rsidRDefault="000E7D01" w:rsidP="000E7D01">
      <w:pPr>
        <w:pStyle w:val="ListParagraph"/>
        <w:numPr>
          <w:ilvl w:val="0"/>
          <w:numId w:val="31"/>
        </w:numPr>
        <w:rPr>
          <w:rFonts w:ascii="Verdana" w:hAnsi="Verdana"/>
          <w:sz w:val="22"/>
          <w:szCs w:val="22"/>
        </w:rPr>
      </w:pPr>
      <w:r w:rsidRPr="002B67CD">
        <w:rPr>
          <w:rFonts w:ascii="Verdana" w:hAnsi="Verdana"/>
          <w:sz w:val="22"/>
          <w:szCs w:val="22"/>
        </w:rPr>
        <w:t xml:space="preserve">Onshore wind and solar power account for the bulk of the remaining </w:t>
      </w:r>
      <w:r w:rsidR="00463648" w:rsidRPr="002B67CD">
        <w:rPr>
          <w:rFonts w:ascii="Verdana" w:hAnsi="Verdana"/>
          <w:sz w:val="22"/>
          <w:szCs w:val="22"/>
        </w:rPr>
        <w:t xml:space="preserve">ECI </w:t>
      </w:r>
      <w:r w:rsidRPr="002B67CD">
        <w:rPr>
          <w:rFonts w:ascii="Verdana" w:hAnsi="Verdana"/>
          <w:sz w:val="22"/>
          <w:szCs w:val="22"/>
        </w:rPr>
        <w:t>renewable</w:t>
      </w:r>
      <w:r w:rsidR="004779C4" w:rsidRPr="002B67CD">
        <w:rPr>
          <w:rFonts w:ascii="Verdana" w:hAnsi="Verdana"/>
          <w:sz w:val="22"/>
          <w:szCs w:val="22"/>
        </w:rPr>
        <w:t>s</w:t>
      </w:r>
      <w:r w:rsidRPr="002B67CD">
        <w:rPr>
          <w:rFonts w:ascii="Verdana" w:hAnsi="Verdana"/>
          <w:sz w:val="22"/>
          <w:szCs w:val="22"/>
        </w:rPr>
        <w:t xml:space="preserve"> energy workforce (around 60%). Energy from waste accounts for a further 18%. Demand for labour in these sectors, although much lower than for offshore wind, is expected to grow steadily until at least 2035.</w:t>
      </w:r>
    </w:p>
    <w:p w14:paraId="4EA97BE1" w14:textId="77777777" w:rsidR="000E7D01" w:rsidRPr="002B67CD" w:rsidRDefault="000E7D01" w:rsidP="000E7D01">
      <w:pPr>
        <w:rPr>
          <w:rFonts w:ascii="Verdana" w:hAnsi="Verdana"/>
          <w:sz w:val="22"/>
          <w:szCs w:val="22"/>
        </w:rPr>
      </w:pPr>
    </w:p>
    <w:p w14:paraId="6BAD9698" w14:textId="409C7802" w:rsidR="000C235C" w:rsidRPr="002B67CD" w:rsidRDefault="0043424B" w:rsidP="0043424B">
      <w:pPr>
        <w:pStyle w:val="ListParagraph"/>
        <w:numPr>
          <w:ilvl w:val="0"/>
          <w:numId w:val="31"/>
        </w:numPr>
        <w:rPr>
          <w:rFonts w:ascii="Verdana" w:hAnsi="Verdana"/>
          <w:sz w:val="22"/>
          <w:szCs w:val="22"/>
        </w:rPr>
      </w:pPr>
      <w:r w:rsidRPr="002B67CD">
        <w:rPr>
          <w:rFonts w:ascii="Verdana" w:hAnsi="Verdana"/>
          <w:sz w:val="22"/>
          <w:szCs w:val="22"/>
        </w:rPr>
        <w:t>The Scottish Highlands and Islands could be a key player, particularly for onshore wind. Solar projects could be developed mainly in the East Midlands and the East of England.</w:t>
      </w:r>
    </w:p>
    <w:p w14:paraId="0550111F" w14:textId="77777777" w:rsidR="000C235C" w:rsidRPr="002B67CD" w:rsidRDefault="000C235C" w:rsidP="000C235C">
      <w:pPr>
        <w:rPr>
          <w:rFonts w:ascii="Verdana" w:hAnsi="Verdana"/>
          <w:sz w:val="22"/>
          <w:szCs w:val="22"/>
        </w:rPr>
      </w:pPr>
    </w:p>
    <w:p w14:paraId="53AA3809" w14:textId="77777777" w:rsidR="006F5960" w:rsidRDefault="006F5960" w:rsidP="00BE15FF">
      <w:pPr>
        <w:pStyle w:val="Heading4"/>
        <w:rPr>
          <w:rFonts w:ascii="Verdana" w:hAnsi="Verdana"/>
          <w:sz w:val="22"/>
          <w:szCs w:val="22"/>
        </w:rPr>
      </w:pPr>
    </w:p>
    <w:p w14:paraId="1EACD190" w14:textId="77777777" w:rsidR="006F5960" w:rsidRDefault="006F5960" w:rsidP="00BE15FF">
      <w:pPr>
        <w:pStyle w:val="Heading4"/>
        <w:rPr>
          <w:rFonts w:ascii="Verdana" w:hAnsi="Verdana"/>
          <w:sz w:val="22"/>
          <w:szCs w:val="22"/>
        </w:rPr>
      </w:pPr>
    </w:p>
    <w:p w14:paraId="2E5C8D2B" w14:textId="77777777" w:rsidR="006F5960" w:rsidRPr="006F5960" w:rsidRDefault="006F5960" w:rsidP="006F5960"/>
    <w:p w14:paraId="675CE027" w14:textId="20EF7D76" w:rsidR="000C235C" w:rsidRPr="002B67CD" w:rsidRDefault="000C235C" w:rsidP="00BE15FF">
      <w:pPr>
        <w:pStyle w:val="Heading4"/>
        <w:rPr>
          <w:rFonts w:ascii="Verdana" w:hAnsi="Verdana"/>
          <w:sz w:val="22"/>
          <w:szCs w:val="22"/>
        </w:rPr>
      </w:pPr>
      <w:r w:rsidRPr="002B67CD">
        <w:rPr>
          <w:rFonts w:ascii="Verdana" w:hAnsi="Verdana"/>
          <w:sz w:val="22"/>
          <w:szCs w:val="22"/>
        </w:rPr>
        <w:t>Carbon Capture and Hydrogen</w:t>
      </w:r>
    </w:p>
    <w:p w14:paraId="385887A7" w14:textId="77777777" w:rsidR="009269FF" w:rsidRPr="002B67CD" w:rsidRDefault="009269FF" w:rsidP="009269FF">
      <w:pPr>
        <w:rPr>
          <w:rFonts w:ascii="Verdana" w:hAnsi="Verdana"/>
          <w:sz w:val="22"/>
          <w:szCs w:val="22"/>
        </w:rPr>
      </w:pPr>
    </w:p>
    <w:p w14:paraId="6655EE2B" w14:textId="4D742821" w:rsidR="009269FF" w:rsidRPr="002B67CD" w:rsidRDefault="009269FF" w:rsidP="009269FF">
      <w:pPr>
        <w:rPr>
          <w:rFonts w:ascii="Verdana" w:hAnsi="Verdana"/>
          <w:i/>
          <w:iCs/>
          <w:sz w:val="18"/>
          <w:szCs w:val="18"/>
        </w:rPr>
      </w:pPr>
      <w:r w:rsidRPr="002B67CD">
        <w:rPr>
          <w:rFonts w:ascii="Verdana" w:hAnsi="Verdana"/>
          <w:i/>
          <w:iCs/>
          <w:sz w:val="18"/>
          <w:szCs w:val="18"/>
        </w:rPr>
        <w:t>Please note that d</w:t>
      </w:r>
      <w:r w:rsidR="008A2A70" w:rsidRPr="002B67CD">
        <w:rPr>
          <w:rFonts w:ascii="Verdana" w:hAnsi="Verdana"/>
          <w:i/>
          <w:iCs/>
          <w:sz w:val="18"/>
          <w:szCs w:val="18"/>
        </w:rPr>
        <w:t>ata for these sectors is immature</w:t>
      </w:r>
      <w:r w:rsidR="00D707B1" w:rsidRPr="002B67CD">
        <w:rPr>
          <w:rFonts w:ascii="Verdana" w:hAnsi="Verdana"/>
          <w:i/>
          <w:iCs/>
          <w:sz w:val="18"/>
          <w:szCs w:val="18"/>
        </w:rPr>
        <w:t xml:space="preserve">, which </w:t>
      </w:r>
      <w:r w:rsidR="00CA0823" w:rsidRPr="002B67CD">
        <w:rPr>
          <w:rFonts w:ascii="Verdana" w:hAnsi="Verdana"/>
          <w:i/>
          <w:iCs/>
          <w:sz w:val="18"/>
          <w:szCs w:val="18"/>
        </w:rPr>
        <w:t>affects the reliability of the forecasts</w:t>
      </w:r>
      <w:r w:rsidR="008A2A70" w:rsidRPr="002B67CD">
        <w:rPr>
          <w:rFonts w:ascii="Verdana" w:hAnsi="Verdana"/>
          <w:i/>
          <w:iCs/>
          <w:sz w:val="18"/>
          <w:szCs w:val="18"/>
        </w:rPr>
        <w:t xml:space="preserve">. </w:t>
      </w:r>
    </w:p>
    <w:p w14:paraId="563EAB99" w14:textId="77777777" w:rsidR="000C235C" w:rsidRPr="002B67CD" w:rsidRDefault="000C235C" w:rsidP="000C235C">
      <w:pPr>
        <w:rPr>
          <w:rFonts w:ascii="Verdana" w:hAnsi="Verdana"/>
          <w:sz w:val="22"/>
          <w:szCs w:val="22"/>
        </w:rPr>
      </w:pPr>
    </w:p>
    <w:p w14:paraId="132F5691" w14:textId="7B1C2DE7" w:rsidR="00845005" w:rsidRPr="002B67CD" w:rsidRDefault="000947C7" w:rsidP="000947C7">
      <w:pPr>
        <w:pStyle w:val="ListParagraph"/>
        <w:numPr>
          <w:ilvl w:val="0"/>
          <w:numId w:val="32"/>
        </w:numPr>
        <w:rPr>
          <w:rFonts w:ascii="Verdana" w:hAnsi="Verdana"/>
          <w:sz w:val="22"/>
          <w:szCs w:val="22"/>
        </w:rPr>
      </w:pPr>
      <w:r w:rsidRPr="002B67CD">
        <w:rPr>
          <w:rFonts w:ascii="Verdana" w:hAnsi="Verdana"/>
          <w:sz w:val="22"/>
          <w:szCs w:val="22"/>
        </w:rPr>
        <w:lastRenderedPageBreak/>
        <w:t>Demand for carbon capture and hydrogen projects could peak at 1</w:t>
      </w:r>
      <w:r w:rsidR="00BA56D0" w:rsidRPr="002B67CD">
        <w:rPr>
          <w:rFonts w:ascii="Verdana" w:hAnsi="Verdana"/>
          <w:sz w:val="22"/>
          <w:szCs w:val="22"/>
        </w:rPr>
        <w:t>2</w:t>
      </w:r>
      <w:r w:rsidRPr="002B67CD">
        <w:rPr>
          <w:rFonts w:ascii="Verdana" w:hAnsi="Verdana"/>
          <w:sz w:val="22"/>
          <w:szCs w:val="22"/>
        </w:rPr>
        <w:t xml:space="preserve">,000 </w:t>
      </w:r>
      <w:r w:rsidR="00043769" w:rsidRPr="002B67CD">
        <w:rPr>
          <w:rFonts w:ascii="Verdana" w:hAnsi="Verdana"/>
          <w:sz w:val="22"/>
          <w:szCs w:val="22"/>
        </w:rPr>
        <w:t xml:space="preserve">ECI workers </w:t>
      </w:r>
      <w:r w:rsidRPr="002B67CD">
        <w:rPr>
          <w:rFonts w:ascii="Verdana" w:hAnsi="Verdana"/>
          <w:sz w:val="22"/>
          <w:szCs w:val="22"/>
        </w:rPr>
        <w:t>by 2026. However, competition for skills and/or failure to improve transferability between sectors can lead to significant delays.</w:t>
      </w:r>
    </w:p>
    <w:p w14:paraId="21EEDF79" w14:textId="77777777" w:rsidR="000947C7" w:rsidRPr="002B67CD" w:rsidRDefault="000947C7" w:rsidP="00845005">
      <w:pPr>
        <w:rPr>
          <w:rFonts w:ascii="Verdana" w:hAnsi="Verdana"/>
          <w:sz w:val="22"/>
          <w:szCs w:val="22"/>
        </w:rPr>
      </w:pPr>
    </w:p>
    <w:p w14:paraId="5AA598FA" w14:textId="5C082C4F" w:rsidR="007612CB" w:rsidRPr="002B67CD" w:rsidRDefault="00B312CD" w:rsidP="00B312CD">
      <w:pPr>
        <w:pStyle w:val="ListParagraph"/>
        <w:numPr>
          <w:ilvl w:val="0"/>
          <w:numId w:val="32"/>
        </w:numPr>
        <w:rPr>
          <w:rFonts w:ascii="Verdana" w:hAnsi="Verdana"/>
          <w:sz w:val="22"/>
          <w:szCs w:val="22"/>
        </w:rPr>
      </w:pPr>
      <w:r w:rsidRPr="002B67CD">
        <w:rPr>
          <w:rFonts w:ascii="Verdana" w:hAnsi="Verdana"/>
          <w:sz w:val="22"/>
          <w:szCs w:val="22"/>
        </w:rPr>
        <w:t xml:space="preserve">The long-term trend could reach a plateau above the 10,000 </w:t>
      </w:r>
      <w:proofErr w:type="gramStart"/>
      <w:r w:rsidRPr="002B67CD">
        <w:rPr>
          <w:rFonts w:ascii="Verdana" w:hAnsi="Verdana"/>
          <w:sz w:val="22"/>
          <w:szCs w:val="22"/>
        </w:rPr>
        <w:t>mark</w:t>
      </w:r>
      <w:proofErr w:type="gramEnd"/>
      <w:r w:rsidRPr="002B67CD">
        <w:rPr>
          <w:rFonts w:ascii="Verdana" w:hAnsi="Verdana"/>
          <w:sz w:val="22"/>
          <w:szCs w:val="22"/>
        </w:rPr>
        <w:t>, as there is still relative uncertainty about the exact scale these technologies could reach. This also reflects the productivity gains expected after the first wave of construction.</w:t>
      </w:r>
    </w:p>
    <w:p w14:paraId="40980855" w14:textId="77777777" w:rsidR="00B312CD" w:rsidRPr="002B67CD" w:rsidRDefault="00B312CD" w:rsidP="00B312CD">
      <w:pPr>
        <w:rPr>
          <w:rFonts w:ascii="Verdana" w:hAnsi="Verdana"/>
          <w:sz w:val="22"/>
          <w:szCs w:val="22"/>
        </w:rPr>
      </w:pPr>
    </w:p>
    <w:p w14:paraId="76028B44" w14:textId="677D1CBC" w:rsidR="007612CB" w:rsidRDefault="00ED11B4" w:rsidP="00E570F6">
      <w:pPr>
        <w:pStyle w:val="ListParagraph"/>
        <w:numPr>
          <w:ilvl w:val="0"/>
          <w:numId w:val="28"/>
        </w:numPr>
        <w:rPr>
          <w:rFonts w:ascii="Verdana" w:hAnsi="Verdana"/>
          <w:sz w:val="23"/>
          <w:szCs w:val="23"/>
        </w:rPr>
      </w:pPr>
      <w:r w:rsidRPr="002B67CD">
        <w:rPr>
          <w:rFonts w:ascii="Verdana" w:hAnsi="Verdana"/>
          <w:sz w:val="22"/>
          <w:szCs w:val="22"/>
        </w:rPr>
        <w:t>Many major</w:t>
      </w:r>
      <w:r w:rsidR="007612CB" w:rsidRPr="002B67CD">
        <w:rPr>
          <w:rFonts w:ascii="Verdana" w:hAnsi="Verdana"/>
          <w:sz w:val="22"/>
          <w:szCs w:val="22"/>
        </w:rPr>
        <w:t xml:space="preserve"> projects </w:t>
      </w:r>
      <w:r w:rsidRPr="002B67CD">
        <w:rPr>
          <w:rFonts w:ascii="Verdana" w:hAnsi="Verdana"/>
          <w:sz w:val="22"/>
          <w:szCs w:val="22"/>
        </w:rPr>
        <w:t xml:space="preserve">currently </w:t>
      </w:r>
      <w:r w:rsidR="005B703C" w:rsidRPr="002B67CD">
        <w:rPr>
          <w:rFonts w:ascii="Verdana" w:hAnsi="Verdana"/>
          <w:sz w:val="22"/>
          <w:szCs w:val="22"/>
        </w:rPr>
        <w:t>in</w:t>
      </w:r>
      <w:r w:rsidRPr="002B67CD">
        <w:rPr>
          <w:rFonts w:ascii="Verdana" w:hAnsi="Verdana"/>
          <w:sz w:val="22"/>
          <w:szCs w:val="22"/>
        </w:rPr>
        <w:t xml:space="preserve"> </w:t>
      </w:r>
      <w:r w:rsidR="003211BF" w:rsidRPr="002B67CD">
        <w:rPr>
          <w:rFonts w:ascii="Verdana" w:hAnsi="Verdana"/>
          <w:sz w:val="22"/>
          <w:szCs w:val="22"/>
        </w:rPr>
        <w:t>the front-end engineering design or feasibility stud</w:t>
      </w:r>
      <w:r w:rsidR="005B703C" w:rsidRPr="002B67CD">
        <w:rPr>
          <w:rFonts w:ascii="Verdana" w:hAnsi="Verdana"/>
          <w:sz w:val="22"/>
          <w:szCs w:val="22"/>
        </w:rPr>
        <w:t>y</w:t>
      </w:r>
      <w:r w:rsidR="003211BF" w:rsidRPr="002B67CD">
        <w:rPr>
          <w:rFonts w:ascii="Verdana" w:hAnsi="Verdana"/>
          <w:sz w:val="22"/>
          <w:szCs w:val="22"/>
        </w:rPr>
        <w:t xml:space="preserve"> phases </w:t>
      </w:r>
      <w:r w:rsidR="00B30D2F" w:rsidRPr="002B67CD">
        <w:rPr>
          <w:rFonts w:ascii="Verdana" w:hAnsi="Verdana"/>
          <w:sz w:val="22"/>
          <w:szCs w:val="22"/>
        </w:rPr>
        <w:t xml:space="preserve">relate to the general infrastructure needed to </w:t>
      </w:r>
      <w:r w:rsidR="00705B0A" w:rsidRPr="002B67CD">
        <w:rPr>
          <w:rFonts w:ascii="Verdana" w:hAnsi="Verdana"/>
          <w:sz w:val="22"/>
          <w:szCs w:val="22"/>
        </w:rPr>
        <w:t>support the</w:t>
      </w:r>
      <w:r w:rsidR="00B30D2F" w:rsidRPr="002B67CD">
        <w:rPr>
          <w:rFonts w:ascii="Verdana" w:hAnsi="Verdana"/>
          <w:sz w:val="22"/>
          <w:szCs w:val="22"/>
        </w:rPr>
        <w:t xml:space="preserve"> future </w:t>
      </w:r>
      <w:r w:rsidR="00EF069F" w:rsidRPr="002B67CD">
        <w:rPr>
          <w:rFonts w:ascii="Verdana" w:hAnsi="Verdana"/>
          <w:sz w:val="22"/>
          <w:szCs w:val="22"/>
        </w:rPr>
        <w:t>handling</w:t>
      </w:r>
      <w:r w:rsidR="00B30D2F" w:rsidRPr="002B67CD">
        <w:rPr>
          <w:rFonts w:ascii="Verdana" w:hAnsi="Verdana"/>
          <w:sz w:val="22"/>
          <w:szCs w:val="22"/>
        </w:rPr>
        <w:t xml:space="preserve"> of carb</w:t>
      </w:r>
      <w:r w:rsidR="00B30D2F" w:rsidRPr="2B5EA11D">
        <w:rPr>
          <w:rFonts w:ascii="Verdana" w:hAnsi="Verdana"/>
          <w:sz w:val="22"/>
          <w:szCs w:val="22"/>
        </w:rPr>
        <w:t>on and hydrogen.</w:t>
      </w:r>
      <w:r w:rsidR="00EF069F" w:rsidRPr="2B5EA11D">
        <w:rPr>
          <w:rFonts w:ascii="Verdana" w:hAnsi="Verdana"/>
          <w:sz w:val="22"/>
          <w:szCs w:val="22"/>
        </w:rPr>
        <w:t xml:space="preserve"> </w:t>
      </w:r>
      <w:r w:rsidR="00B1231A" w:rsidRPr="2B5EA11D">
        <w:rPr>
          <w:rFonts w:ascii="Verdana" w:hAnsi="Verdana"/>
          <w:sz w:val="22"/>
          <w:szCs w:val="22"/>
        </w:rPr>
        <w:t>Once these projects are completed, many smaller-scale projects can be expected to develop over the longer term</w:t>
      </w:r>
      <w:r w:rsidR="00756B86" w:rsidRPr="2B5EA11D">
        <w:rPr>
          <w:rFonts w:ascii="Verdana" w:hAnsi="Verdana"/>
          <w:sz w:val="22"/>
          <w:szCs w:val="22"/>
        </w:rPr>
        <w:t>.</w:t>
      </w:r>
    </w:p>
    <w:p w14:paraId="3C5CB0A9" w14:textId="74B3185F" w:rsidR="006F5960" w:rsidRDefault="006F5960" w:rsidP="006F5960">
      <w:pPr>
        <w:rPr>
          <w:rFonts w:ascii="Verdana" w:eastAsia="Verdana" w:hAnsi="Verdana" w:cs="Verdana"/>
          <w:sz w:val="23"/>
          <w:szCs w:val="23"/>
        </w:rPr>
      </w:pPr>
    </w:p>
    <w:p w14:paraId="4A4A2A21" w14:textId="5D54B41C" w:rsidR="006F5960" w:rsidRDefault="006F5960" w:rsidP="006F5960">
      <w:pPr>
        <w:rPr>
          <w:rFonts w:ascii="Verdana" w:eastAsia="Verdana" w:hAnsi="Verdana" w:cs="Verdana"/>
          <w:sz w:val="23"/>
          <w:szCs w:val="23"/>
        </w:rPr>
      </w:pPr>
    </w:p>
    <w:p w14:paraId="7F24F9A4" w14:textId="184C9A64" w:rsidR="006F5960" w:rsidRDefault="006F5960" w:rsidP="006F5960">
      <w:pPr>
        <w:pStyle w:val="Heading4"/>
        <w:rPr>
          <w:rFonts w:ascii="Verdana" w:eastAsia="Verdana" w:hAnsi="Verdana" w:cs="Verdana"/>
          <w:sz w:val="23"/>
          <w:szCs w:val="23"/>
        </w:rPr>
      </w:pPr>
      <w:r w:rsidRPr="1DB39728">
        <w:rPr>
          <w:rFonts w:ascii="Verdana" w:eastAsia="Verdana" w:hAnsi="Verdana" w:cs="Verdana"/>
          <w:sz w:val="23"/>
          <w:szCs w:val="23"/>
        </w:rPr>
        <w:t>Contact</w:t>
      </w:r>
    </w:p>
    <w:p w14:paraId="0E17C8E7" w14:textId="130BCEAD" w:rsidR="006F5960" w:rsidRDefault="006F5960" w:rsidP="006F5960">
      <w:pPr>
        <w:rPr>
          <w:rFonts w:ascii="Verdana" w:eastAsia="Verdana" w:hAnsi="Verdana" w:cs="Verdana"/>
          <w:sz w:val="23"/>
          <w:szCs w:val="23"/>
        </w:rPr>
      </w:pPr>
    </w:p>
    <w:p w14:paraId="7E5045DF" w14:textId="18347227" w:rsidR="006F5960" w:rsidRPr="006F5960" w:rsidRDefault="006F5960" w:rsidP="006F5960">
      <w:pPr>
        <w:rPr>
          <w:rFonts w:ascii="Verdana" w:eastAsia="Verdana" w:hAnsi="Verdana" w:cs="Verdana"/>
          <w:sz w:val="22"/>
          <w:szCs w:val="22"/>
        </w:rPr>
      </w:pPr>
      <w:r w:rsidRPr="00B22D21">
        <w:rPr>
          <w:rFonts w:ascii="Verdana" w:eastAsia="Verdana" w:hAnsi="Verdana" w:cs="Verdana"/>
          <w:sz w:val="22"/>
          <w:szCs w:val="22"/>
        </w:rPr>
        <w:t>For any quer</w:t>
      </w:r>
      <w:r w:rsidR="00C02120" w:rsidRPr="00B22D21">
        <w:rPr>
          <w:rFonts w:ascii="Verdana" w:eastAsia="Verdana" w:hAnsi="Verdana" w:cs="Verdana"/>
          <w:sz w:val="22"/>
          <w:szCs w:val="22"/>
        </w:rPr>
        <w:t>ies</w:t>
      </w:r>
      <w:r w:rsidRPr="00B22D21">
        <w:rPr>
          <w:rFonts w:ascii="Verdana" w:eastAsia="Verdana" w:hAnsi="Verdana" w:cs="Verdana"/>
          <w:sz w:val="22"/>
          <w:szCs w:val="22"/>
        </w:rPr>
        <w:t xml:space="preserve">, please contact </w:t>
      </w:r>
      <w:hyperlink r:id="rId15">
        <w:r w:rsidRPr="00B22D21">
          <w:rPr>
            <w:rStyle w:val="Hyperlink"/>
            <w:rFonts w:ascii="Verdana" w:eastAsia="Verdana" w:hAnsi="Verdana" w:cs="Verdana"/>
            <w:sz w:val="22"/>
            <w:szCs w:val="22"/>
          </w:rPr>
          <w:t>research@ecitb.org.uk</w:t>
        </w:r>
      </w:hyperlink>
      <w:r w:rsidRPr="00B22D21">
        <w:rPr>
          <w:rFonts w:ascii="Verdana" w:eastAsia="Verdana" w:hAnsi="Verdana" w:cs="Verdana"/>
          <w:sz w:val="22"/>
          <w:szCs w:val="22"/>
        </w:rPr>
        <w:t xml:space="preserve">. </w:t>
      </w:r>
    </w:p>
    <w:sectPr w:rsidR="006F5960" w:rsidRPr="006F5960" w:rsidSect="003B79E9">
      <w:footerReference w:type="even" r:id="rId16"/>
      <w:footerReference w:type="default" r:id="rId17"/>
      <w:headerReference w:type="first" r:id="rId18"/>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5696" w14:textId="77777777" w:rsidR="00FF360F" w:rsidRDefault="00FF360F" w:rsidP="00CE6846">
      <w:r>
        <w:separator/>
      </w:r>
    </w:p>
    <w:p w14:paraId="283CA404" w14:textId="77777777" w:rsidR="00FF360F" w:rsidRDefault="00FF360F" w:rsidP="00CE6846"/>
    <w:p w14:paraId="396CFA08" w14:textId="77777777" w:rsidR="00FF360F" w:rsidRDefault="00FF360F" w:rsidP="00CE6846"/>
  </w:endnote>
  <w:endnote w:type="continuationSeparator" w:id="0">
    <w:p w14:paraId="14176F1E" w14:textId="77777777" w:rsidR="00FF360F" w:rsidRDefault="00FF360F" w:rsidP="00CE6846">
      <w:r>
        <w:continuationSeparator/>
      </w:r>
    </w:p>
    <w:p w14:paraId="620E842C" w14:textId="77777777" w:rsidR="00FF360F" w:rsidRDefault="00FF360F" w:rsidP="00CE6846"/>
    <w:p w14:paraId="61F1879D" w14:textId="77777777" w:rsidR="00FF360F" w:rsidRDefault="00FF360F" w:rsidP="00CE6846"/>
  </w:endnote>
  <w:endnote w:type="continuationNotice" w:id="1">
    <w:p w14:paraId="5203D33B" w14:textId="77777777" w:rsidR="00FF360F" w:rsidRDefault="00FF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193B" w14:textId="77777777" w:rsidR="008E149C" w:rsidRDefault="008E149C" w:rsidP="00CE68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32DDC14" w14:textId="77777777" w:rsidR="00334820" w:rsidRDefault="00334820" w:rsidP="00CE6846">
    <w:pPr>
      <w:pStyle w:val="Footer"/>
    </w:pPr>
  </w:p>
  <w:p w14:paraId="0160B779" w14:textId="77777777" w:rsidR="00DC1571" w:rsidRDefault="00DC1571" w:rsidP="00CE6846"/>
  <w:p w14:paraId="766B4604" w14:textId="77777777" w:rsidR="00DC1571" w:rsidRDefault="00DC1571" w:rsidP="00CE68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33D6" w14:textId="77777777" w:rsidR="00DC1571" w:rsidRDefault="008E149C" w:rsidP="00A25802">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CC5E" w14:textId="77777777" w:rsidR="00FF360F" w:rsidRDefault="00FF360F" w:rsidP="00CE6846">
      <w:r>
        <w:separator/>
      </w:r>
    </w:p>
    <w:p w14:paraId="249FEC5F" w14:textId="77777777" w:rsidR="00FF360F" w:rsidRDefault="00FF360F" w:rsidP="00CE6846"/>
    <w:p w14:paraId="263BB129" w14:textId="77777777" w:rsidR="00FF360F" w:rsidRDefault="00FF360F" w:rsidP="00CE6846"/>
  </w:footnote>
  <w:footnote w:type="continuationSeparator" w:id="0">
    <w:p w14:paraId="6465E9F9" w14:textId="77777777" w:rsidR="00FF360F" w:rsidRDefault="00FF360F" w:rsidP="00CE6846">
      <w:r>
        <w:continuationSeparator/>
      </w:r>
    </w:p>
    <w:p w14:paraId="34CDDD89" w14:textId="77777777" w:rsidR="00FF360F" w:rsidRDefault="00FF360F" w:rsidP="00CE6846"/>
    <w:p w14:paraId="58B88FB5" w14:textId="77777777" w:rsidR="00FF360F" w:rsidRDefault="00FF360F" w:rsidP="00CE6846"/>
  </w:footnote>
  <w:footnote w:type="continuationNotice" w:id="1">
    <w:p w14:paraId="066D2E9D" w14:textId="77777777" w:rsidR="00FF360F" w:rsidRDefault="00FF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CF15" w14:textId="77777777" w:rsidR="003A5BDF" w:rsidRPr="008B2E3C" w:rsidRDefault="000E2093" w:rsidP="00CE6846">
    <w:pPr>
      <w:pStyle w:val="Header"/>
    </w:pPr>
    <w:r>
      <w:rPr>
        <w:noProof/>
        <w:lang w:eastAsia="en-GB"/>
      </w:rPr>
      <w:drawing>
        <wp:inline distT="0" distB="0" distL="0" distR="0" wp14:anchorId="4177A5B3" wp14:editId="261C9447">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E9D"/>
    <w:multiLevelType w:val="hybridMultilevel"/>
    <w:tmpl w:val="62D856BC"/>
    <w:lvl w:ilvl="0" w:tplc="F59AE0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662D4A"/>
    <w:multiLevelType w:val="hybridMultilevel"/>
    <w:tmpl w:val="47AE531E"/>
    <w:lvl w:ilvl="0" w:tplc="CDC483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2163"/>
    <w:multiLevelType w:val="hybridMultilevel"/>
    <w:tmpl w:val="0FC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568C"/>
    <w:multiLevelType w:val="hybridMultilevel"/>
    <w:tmpl w:val="2B62DC5C"/>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B1730"/>
    <w:multiLevelType w:val="hybridMultilevel"/>
    <w:tmpl w:val="15C6C43C"/>
    <w:lvl w:ilvl="0" w:tplc="C62AE8F8">
      <w:start w:val="1"/>
      <w:numFmt w:val="bullet"/>
      <w:lvlText w:val="·"/>
      <w:lvlJc w:val="left"/>
      <w:pPr>
        <w:ind w:left="720" w:hanging="360"/>
      </w:pPr>
      <w:rPr>
        <w:rFonts w:ascii="Symbol" w:hAnsi="Symbol" w:hint="default"/>
      </w:rPr>
    </w:lvl>
    <w:lvl w:ilvl="1" w:tplc="39640E0E">
      <w:start w:val="1"/>
      <w:numFmt w:val="bullet"/>
      <w:lvlText w:val="o"/>
      <w:lvlJc w:val="left"/>
      <w:pPr>
        <w:ind w:left="1440" w:hanging="360"/>
      </w:pPr>
      <w:rPr>
        <w:rFonts w:ascii="Courier New" w:hAnsi="Courier New" w:hint="default"/>
      </w:rPr>
    </w:lvl>
    <w:lvl w:ilvl="2" w:tplc="9E74719A">
      <w:start w:val="1"/>
      <w:numFmt w:val="bullet"/>
      <w:lvlText w:val=""/>
      <w:lvlJc w:val="left"/>
      <w:pPr>
        <w:ind w:left="2160" w:hanging="360"/>
      </w:pPr>
      <w:rPr>
        <w:rFonts w:ascii="Wingdings" w:hAnsi="Wingdings" w:hint="default"/>
      </w:rPr>
    </w:lvl>
    <w:lvl w:ilvl="3" w:tplc="84DA1190">
      <w:start w:val="1"/>
      <w:numFmt w:val="bullet"/>
      <w:lvlText w:val=""/>
      <w:lvlJc w:val="left"/>
      <w:pPr>
        <w:ind w:left="2880" w:hanging="360"/>
      </w:pPr>
      <w:rPr>
        <w:rFonts w:ascii="Symbol" w:hAnsi="Symbol" w:hint="default"/>
      </w:rPr>
    </w:lvl>
    <w:lvl w:ilvl="4" w:tplc="271A56D4">
      <w:start w:val="1"/>
      <w:numFmt w:val="bullet"/>
      <w:lvlText w:val="o"/>
      <w:lvlJc w:val="left"/>
      <w:pPr>
        <w:ind w:left="3600" w:hanging="360"/>
      </w:pPr>
      <w:rPr>
        <w:rFonts w:ascii="Courier New" w:hAnsi="Courier New" w:hint="default"/>
      </w:rPr>
    </w:lvl>
    <w:lvl w:ilvl="5" w:tplc="57828268">
      <w:start w:val="1"/>
      <w:numFmt w:val="bullet"/>
      <w:lvlText w:val=""/>
      <w:lvlJc w:val="left"/>
      <w:pPr>
        <w:ind w:left="4320" w:hanging="360"/>
      </w:pPr>
      <w:rPr>
        <w:rFonts w:ascii="Wingdings" w:hAnsi="Wingdings" w:hint="default"/>
      </w:rPr>
    </w:lvl>
    <w:lvl w:ilvl="6" w:tplc="37B6A942">
      <w:start w:val="1"/>
      <w:numFmt w:val="bullet"/>
      <w:lvlText w:val=""/>
      <w:lvlJc w:val="left"/>
      <w:pPr>
        <w:ind w:left="5040" w:hanging="360"/>
      </w:pPr>
      <w:rPr>
        <w:rFonts w:ascii="Symbol" w:hAnsi="Symbol" w:hint="default"/>
      </w:rPr>
    </w:lvl>
    <w:lvl w:ilvl="7" w:tplc="DC34749E">
      <w:start w:val="1"/>
      <w:numFmt w:val="bullet"/>
      <w:lvlText w:val="o"/>
      <w:lvlJc w:val="left"/>
      <w:pPr>
        <w:ind w:left="5760" w:hanging="360"/>
      </w:pPr>
      <w:rPr>
        <w:rFonts w:ascii="Courier New" w:hAnsi="Courier New" w:hint="default"/>
      </w:rPr>
    </w:lvl>
    <w:lvl w:ilvl="8" w:tplc="3370A054">
      <w:start w:val="1"/>
      <w:numFmt w:val="bullet"/>
      <w:lvlText w:val=""/>
      <w:lvlJc w:val="left"/>
      <w:pPr>
        <w:ind w:left="6480" w:hanging="360"/>
      </w:pPr>
      <w:rPr>
        <w:rFonts w:ascii="Wingdings" w:hAnsi="Wingdings" w:hint="default"/>
      </w:rPr>
    </w:lvl>
  </w:abstractNum>
  <w:abstractNum w:abstractNumId="5" w15:restartNumberingAfterBreak="0">
    <w:nsid w:val="1B7FB79B"/>
    <w:multiLevelType w:val="hybridMultilevel"/>
    <w:tmpl w:val="9B2A3CB6"/>
    <w:lvl w:ilvl="0" w:tplc="78864834">
      <w:start w:val="1"/>
      <w:numFmt w:val="bullet"/>
      <w:lvlText w:val="·"/>
      <w:lvlJc w:val="left"/>
      <w:pPr>
        <w:ind w:left="720" w:hanging="360"/>
      </w:pPr>
      <w:rPr>
        <w:rFonts w:ascii="Symbol" w:hAnsi="Symbol" w:hint="default"/>
      </w:rPr>
    </w:lvl>
    <w:lvl w:ilvl="1" w:tplc="890E5D80">
      <w:start w:val="1"/>
      <w:numFmt w:val="bullet"/>
      <w:lvlText w:val="o"/>
      <w:lvlJc w:val="left"/>
      <w:pPr>
        <w:ind w:left="1440" w:hanging="360"/>
      </w:pPr>
      <w:rPr>
        <w:rFonts w:ascii="Courier New" w:hAnsi="Courier New" w:hint="default"/>
      </w:rPr>
    </w:lvl>
    <w:lvl w:ilvl="2" w:tplc="5D90D9E6">
      <w:start w:val="1"/>
      <w:numFmt w:val="bullet"/>
      <w:lvlText w:val=""/>
      <w:lvlJc w:val="left"/>
      <w:pPr>
        <w:ind w:left="2160" w:hanging="360"/>
      </w:pPr>
      <w:rPr>
        <w:rFonts w:ascii="Wingdings" w:hAnsi="Wingdings" w:hint="default"/>
      </w:rPr>
    </w:lvl>
    <w:lvl w:ilvl="3" w:tplc="ED707078">
      <w:start w:val="1"/>
      <w:numFmt w:val="bullet"/>
      <w:lvlText w:val=""/>
      <w:lvlJc w:val="left"/>
      <w:pPr>
        <w:ind w:left="2880" w:hanging="360"/>
      </w:pPr>
      <w:rPr>
        <w:rFonts w:ascii="Symbol" w:hAnsi="Symbol" w:hint="default"/>
      </w:rPr>
    </w:lvl>
    <w:lvl w:ilvl="4" w:tplc="187ED820">
      <w:start w:val="1"/>
      <w:numFmt w:val="bullet"/>
      <w:lvlText w:val="o"/>
      <w:lvlJc w:val="left"/>
      <w:pPr>
        <w:ind w:left="3600" w:hanging="360"/>
      </w:pPr>
      <w:rPr>
        <w:rFonts w:ascii="Courier New" w:hAnsi="Courier New" w:hint="default"/>
      </w:rPr>
    </w:lvl>
    <w:lvl w:ilvl="5" w:tplc="DD26987C">
      <w:start w:val="1"/>
      <w:numFmt w:val="bullet"/>
      <w:lvlText w:val=""/>
      <w:lvlJc w:val="left"/>
      <w:pPr>
        <w:ind w:left="4320" w:hanging="360"/>
      </w:pPr>
      <w:rPr>
        <w:rFonts w:ascii="Wingdings" w:hAnsi="Wingdings" w:hint="default"/>
      </w:rPr>
    </w:lvl>
    <w:lvl w:ilvl="6" w:tplc="51244A5C">
      <w:start w:val="1"/>
      <w:numFmt w:val="bullet"/>
      <w:lvlText w:val=""/>
      <w:lvlJc w:val="left"/>
      <w:pPr>
        <w:ind w:left="5040" w:hanging="360"/>
      </w:pPr>
      <w:rPr>
        <w:rFonts w:ascii="Symbol" w:hAnsi="Symbol" w:hint="default"/>
      </w:rPr>
    </w:lvl>
    <w:lvl w:ilvl="7" w:tplc="4266BE5E">
      <w:start w:val="1"/>
      <w:numFmt w:val="bullet"/>
      <w:lvlText w:val="o"/>
      <w:lvlJc w:val="left"/>
      <w:pPr>
        <w:ind w:left="5760" w:hanging="360"/>
      </w:pPr>
      <w:rPr>
        <w:rFonts w:ascii="Courier New" w:hAnsi="Courier New" w:hint="default"/>
      </w:rPr>
    </w:lvl>
    <w:lvl w:ilvl="8" w:tplc="AF607C8E">
      <w:start w:val="1"/>
      <w:numFmt w:val="bullet"/>
      <w:lvlText w:val=""/>
      <w:lvlJc w:val="left"/>
      <w:pPr>
        <w:ind w:left="6480" w:hanging="360"/>
      </w:pPr>
      <w:rPr>
        <w:rFonts w:ascii="Wingdings" w:hAnsi="Wingdings" w:hint="default"/>
      </w:rPr>
    </w:lvl>
  </w:abstractNum>
  <w:abstractNum w:abstractNumId="6" w15:restartNumberingAfterBreak="0">
    <w:nsid w:val="220A1588"/>
    <w:multiLevelType w:val="hybridMultilevel"/>
    <w:tmpl w:val="6620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853A5"/>
    <w:multiLevelType w:val="hybridMultilevel"/>
    <w:tmpl w:val="B3962B5C"/>
    <w:lvl w:ilvl="0" w:tplc="D6FC2E1A">
      <w:start w:val="1"/>
      <w:numFmt w:val="bullet"/>
      <w:lvlText w:val="·"/>
      <w:lvlJc w:val="left"/>
      <w:pPr>
        <w:ind w:left="720" w:hanging="360"/>
      </w:pPr>
      <w:rPr>
        <w:rFonts w:ascii="Symbol" w:hAnsi="Symbol" w:hint="default"/>
      </w:rPr>
    </w:lvl>
    <w:lvl w:ilvl="1" w:tplc="0F4E7AA4">
      <w:start w:val="1"/>
      <w:numFmt w:val="bullet"/>
      <w:lvlText w:val="o"/>
      <w:lvlJc w:val="left"/>
      <w:pPr>
        <w:ind w:left="1440" w:hanging="360"/>
      </w:pPr>
      <w:rPr>
        <w:rFonts w:ascii="Courier New" w:hAnsi="Courier New" w:hint="default"/>
      </w:rPr>
    </w:lvl>
    <w:lvl w:ilvl="2" w:tplc="71D20D78">
      <w:start w:val="1"/>
      <w:numFmt w:val="bullet"/>
      <w:lvlText w:val=""/>
      <w:lvlJc w:val="left"/>
      <w:pPr>
        <w:ind w:left="2160" w:hanging="360"/>
      </w:pPr>
      <w:rPr>
        <w:rFonts w:ascii="Wingdings" w:hAnsi="Wingdings" w:hint="default"/>
      </w:rPr>
    </w:lvl>
    <w:lvl w:ilvl="3" w:tplc="32F8A19C">
      <w:start w:val="1"/>
      <w:numFmt w:val="bullet"/>
      <w:lvlText w:val=""/>
      <w:lvlJc w:val="left"/>
      <w:pPr>
        <w:ind w:left="2880" w:hanging="360"/>
      </w:pPr>
      <w:rPr>
        <w:rFonts w:ascii="Symbol" w:hAnsi="Symbol" w:hint="default"/>
      </w:rPr>
    </w:lvl>
    <w:lvl w:ilvl="4" w:tplc="45E60F62">
      <w:start w:val="1"/>
      <w:numFmt w:val="bullet"/>
      <w:lvlText w:val="o"/>
      <w:lvlJc w:val="left"/>
      <w:pPr>
        <w:ind w:left="3600" w:hanging="360"/>
      </w:pPr>
      <w:rPr>
        <w:rFonts w:ascii="Courier New" w:hAnsi="Courier New" w:hint="default"/>
      </w:rPr>
    </w:lvl>
    <w:lvl w:ilvl="5" w:tplc="708E5368">
      <w:start w:val="1"/>
      <w:numFmt w:val="bullet"/>
      <w:lvlText w:val=""/>
      <w:lvlJc w:val="left"/>
      <w:pPr>
        <w:ind w:left="4320" w:hanging="360"/>
      </w:pPr>
      <w:rPr>
        <w:rFonts w:ascii="Wingdings" w:hAnsi="Wingdings" w:hint="default"/>
      </w:rPr>
    </w:lvl>
    <w:lvl w:ilvl="6" w:tplc="1D20ABE0">
      <w:start w:val="1"/>
      <w:numFmt w:val="bullet"/>
      <w:lvlText w:val=""/>
      <w:lvlJc w:val="left"/>
      <w:pPr>
        <w:ind w:left="5040" w:hanging="360"/>
      </w:pPr>
      <w:rPr>
        <w:rFonts w:ascii="Symbol" w:hAnsi="Symbol" w:hint="default"/>
      </w:rPr>
    </w:lvl>
    <w:lvl w:ilvl="7" w:tplc="52AE326E">
      <w:start w:val="1"/>
      <w:numFmt w:val="bullet"/>
      <w:lvlText w:val="o"/>
      <w:lvlJc w:val="left"/>
      <w:pPr>
        <w:ind w:left="5760" w:hanging="360"/>
      </w:pPr>
      <w:rPr>
        <w:rFonts w:ascii="Courier New" w:hAnsi="Courier New" w:hint="default"/>
      </w:rPr>
    </w:lvl>
    <w:lvl w:ilvl="8" w:tplc="0C380ACA">
      <w:start w:val="1"/>
      <w:numFmt w:val="bullet"/>
      <w:lvlText w:val=""/>
      <w:lvlJc w:val="left"/>
      <w:pPr>
        <w:ind w:left="6480" w:hanging="360"/>
      </w:pPr>
      <w:rPr>
        <w:rFonts w:ascii="Wingdings" w:hAnsi="Wingdings" w:hint="default"/>
      </w:rPr>
    </w:lvl>
  </w:abstractNum>
  <w:abstractNum w:abstractNumId="8" w15:restartNumberingAfterBreak="0">
    <w:nsid w:val="25864411"/>
    <w:multiLevelType w:val="hybridMultilevel"/>
    <w:tmpl w:val="07BE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0E70"/>
    <w:multiLevelType w:val="hybridMultilevel"/>
    <w:tmpl w:val="009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25EE7"/>
    <w:multiLevelType w:val="hybridMultilevel"/>
    <w:tmpl w:val="7BD2B2B4"/>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F7877"/>
    <w:multiLevelType w:val="hybridMultilevel"/>
    <w:tmpl w:val="6DF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93D44"/>
    <w:multiLevelType w:val="hybridMultilevel"/>
    <w:tmpl w:val="557E3E70"/>
    <w:lvl w:ilvl="0" w:tplc="4482B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A1344"/>
    <w:multiLevelType w:val="hybridMultilevel"/>
    <w:tmpl w:val="7B2E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27120"/>
    <w:multiLevelType w:val="hybridMultilevel"/>
    <w:tmpl w:val="9D763EE6"/>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7DA8A"/>
    <w:multiLevelType w:val="hybridMultilevel"/>
    <w:tmpl w:val="2D72C870"/>
    <w:lvl w:ilvl="0" w:tplc="1EC82132">
      <w:start w:val="1"/>
      <w:numFmt w:val="bullet"/>
      <w:lvlText w:val="·"/>
      <w:lvlJc w:val="left"/>
      <w:pPr>
        <w:ind w:left="720" w:hanging="360"/>
      </w:pPr>
      <w:rPr>
        <w:rFonts w:ascii="Symbol" w:hAnsi="Symbol" w:hint="default"/>
      </w:rPr>
    </w:lvl>
    <w:lvl w:ilvl="1" w:tplc="C60C6270">
      <w:start w:val="1"/>
      <w:numFmt w:val="bullet"/>
      <w:lvlText w:val="o"/>
      <w:lvlJc w:val="left"/>
      <w:pPr>
        <w:ind w:left="1440" w:hanging="360"/>
      </w:pPr>
      <w:rPr>
        <w:rFonts w:ascii="Courier New" w:hAnsi="Courier New" w:hint="default"/>
      </w:rPr>
    </w:lvl>
    <w:lvl w:ilvl="2" w:tplc="F11C3E90">
      <w:start w:val="1"/>
      <w:numFmt w:val="bullet"/>
      <w:lvlText w:val=""/>
      <w:lvlJc w:val="left"/>
      <w:pPr>
        <w:ind w:left="2160" w:hanging="360"/>
      </w:pPr>
      <w:rPr>
        <w:rFonts w:ascii="Wingdings" w:hAnsi="Wingdings" w:hint="default"/>
      </w:rPr>
    </w:lvl>
    <w:lvl w:ilvl="3" w:tplc="7D74341E">
      <w:start w:val="1"/>
      <w:numFmt w:val="bullet"/>
      <w:lvlText w:val=""/>
      <w:lvlJc w:val="left"/>
      <w:pPr>
        <w:ind w:left="2880" w:hanging="360"/>
      </w:pPr>
      <w:rPr>
        <w:rFonts w:ascii="Symbol" w:hAnsi="Symbol" w:hint="default"/>
      </w:rPr>
    </w:lvl>
    <w:lvl w:ilvl="4" w:tplc="C7709766">
      <w:start w:val="1"/>
      <w:numFmt w:val="bullet"/>
      <w:lvlText w:val="o"/>
      <w:lvlJc w:val="left"/>
      <w:pPr>
        <w:ind w:left="3600" w:hanging="360"/>
      </w:pPr>
      <w:rPr>
        <w:rFonts w:ascii="Courier New" w:hAnsi="Courier New" w:hint="default"/>
      </w:rPr>
    </w:lvl>
    <w:lvl w:ilvl="5" w:tplc="9796DD8E">
      <w:start w:val="1"/>
      <w:numFmt w:val="bullet"/>
      <w:lvlText w:val=""/>
      <w:lvlJc w:val="left"/>
      <w:pPr>
        <w:ind w:left="4320" w:hanging="360"/>
      </w:pPr>
      <w:rPr>
        <w:rFonts w:ascii="Wingdings" w:hAnsi="Wingdings" w:hint="default"/>
      </w:rPr>
    </w:lvl>
    <w:lvl w:ilvl="6" w:tplc="27F4224C">
      <w:start w:val="1"/>
      <w:numFmt w:val="bullet"/>
      <w:lvlText w:val=""/>
      <w:lvlJc w:val="left"/>
      <w:pPr>
        <w:ind w:left="5040" w:hanging="360"/>
      </w:pPr>
      <w:rPr>
        <w:rFonts w:ascii="Symbol" w:hAnsi="Symbol" w:hint="default"/>
      </w:rPr>
    </w:lvl>
    <w:lvl w:ilvl="7" w:tplc="23FA9ADC">
      <w:start w:val="1"/>
      <w:numFmt w:val="bullet"/>
      <w:lvlText w:val="o"/>
      <w:lvlJc w:val="left"/>
      <w:pPr>
        <w:ind w:left="5760" w:hanging="360"/>
      </w:pPr>
      <w:rPr>
        <w:rFonts w:ascii="Courier New" w:hAnsi="Courier New" w:hint="default"/>
      </w:rPr>
    </w:lvl>
    <w:lvl w:ilvl="8" w:tplc="70CCA5FC">
      <w:start w:val="1"/>
      <w:numFmt w:val="bullet"/>
      <w:lvlText w:val=""/>
      <w:lvlJc w:val="left"/>
      <w:pPr>
        <w:ind w:left="6480" w:hanging="360"/>
      </w:pPr>
      <w:rPr>
        <w:rFonts w:ascii="Wingdings" w:hAnsi="Wingdings" w:hint="default"/>
      </w:rPr>
    </w:lvl>
  </w:abstractNum>
  <w:abstractNum w:abstractNumId="16" w15:restartNumberingAfterBreak="0">
    <w:nsid w:val="46E343B1"/>
    <w:multiLevelType w:val="hybridMultilevel"/>
    <w:tmpl w:val="37CC1610"/>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B4078"/>
    <w:multiLevelType w:val="hybridMultilevel"/>
    <w:tmpl w:val="857421F6"/>
    <w:lvl w:ilvl="0" w:tplc="359638B2">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8F7594"/>
    <w:multiLevelType w:val="hybridMultilevel"/>
    <w:tmpl w:val="708E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B4266"/>
    <w:multiLevelType w:val="hybridMultilevel"/>
    <w:tmpl w:val="E46C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949E3"/>
    <w:multiLevelType w:val="hybridMultilevel"/>
    <w:tmpl w:val="98F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91A64"/>
    <w:multiLevelType w:val="hybridMultilevel"/>
    <w:tmpl w:val="CD70C416"/>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546C"/>
    <w:multiLevelType w:val="hybridMultilevel"/>
    <w:tmpl w:val="0C2AE33E"/>
    <w:lvl w:ilvl="0" w:tplc="646AC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6186"/>
    <w:multiLevelType w:val="hybridMultilevel"/>
    <w:tmpl w:val="7CE0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102DF5"/>
    <w:multiLevelType w:val="hybridMultilevel"/>
    <w:tmpl w:val="D7A2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C6800"/>
    <w:multiLevelType w:val="hybridMultilevel"/>
    <w:tmpl w:val="23D02C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5101C"/>
    <w:multiLevelType w:val="hybridMultilevel"/>
    <w:tmpl w:val="4CBA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028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EF38AA"/>
    <w:multiLevelType w:val="hybridMultilevel"/>
    <w:tmpl w:val="CAB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53230E"/>
    <w:multiLevelType w:val="hybridMultilevel"/>
    <w:tmpl w:val="046CDD6E"/>
    <w:lvl w:ilvl="0" w:tplc="7624DCB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C7EE6"/>
    <w:multiLevelType w:val="hybridMultilevel"/>
    <w:tmpl w:val="291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F0B04"/>
    <w:multiLevelType w:val="hybridMultilevel"/>
    <w:tmpl w:val="BCD8431A"/>
    <w:lvl w:ilvl="0" w:tplc="EA988E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391353">
    <w:abstractNumId w:val="15"/>
  </w:num>
  <w:num w:numId="2" w16cid:durableId="2006127460">
    <w:abstractNumId w:val="4"/>
  </w:num>
  <w:num w:numId="3" w16cid:durableId="91585706">
    <w:abstractNumId w:val="5"/>
  </w:num>
  <w:num w:numId="4" w16cid:durableId="1466237097">
    <w:abstractNumId w:val="7"/>
  </w:num>
  <w:num w:numId="5" w16cid:durableId="247740733">
    <w:abstractNumId w:val="13"/>
  </w:num>
  <w:num w:numId="6" w16cid:durableId="1740711145">
    <w:abstractNumId w:val="24"/>
  </w:num>
  <w:num w:numId="7" w16cid:durableId="134031787">
    <w:abstractNumId w:val="8"/>
  </w:num>
  <w:num w:numId="8" w16cid:durableId="578828556">
    <w:abstractNumId w:val="9"/>
  </w:num>
  <w:num w:numId="9" w16cid:durableId="1587151200">
    <w:abstractNumId w:val="20"/>
  </w:num>
  <w:num w:numId="10" w16cid:durableId="1758594830">
    <w:abstractNumId w:val="30"/>
  </w:num>
  <w:num w:numId="11" w16cid:durableId="423645510">
    <w:abstractNumId w:val="6"/>
  </w:num>
  <w:num w:numId="12" w16cid:durableId="839084113">
    <w:abstractNumId w:val="28"/>
  </w:num>
  <w:num w:numId="13" w16cid:durableId="943224101">
    <w:abstractNumId w:val="31"/>
  </w:num>
  <w:num w:numId="14" w16cid:durableId="1103499901">
    <w:abstractNumId w:val="25"/>
  </w:num>
  <w:num w:numId="15" w16cid:durableId="595209597">
    <w:abstractNumId w:val="26"/>
  </w:num>
  <w:num w:numId="16" w16cid:durableId="2032410886">
    <w:abstractNumId w:val="23"/>
  </w:num>
  <w:num w:numId="17" w16cid:durableId="327756805">
    <w:abstractNumId w:val="12"/>
  </w:num>
  <w:num w:numId="18" w16cid:durableId="1222444744">
    <w:abstractNumId w:val="22"/>
  </w:num>
  <w:num w:numId="19" w16cid:durableId="1623997406">
    <w:abstractNumId w:val="18"/>
  </w:num>
  <w:num w:numId="20" w16cid:durableId="1801650713">
    <w:abstractNumId w:val="0"/>
  </w:num>
  <w:num w:numId="21" w16cid:durableId="297228128">
    <w:abstractNumId w:val="11"/>
  </w:num>
  <w:num w:numId="22" w16cid:durableId="1640064070">
    <w:abstractNumId w:val="2"/>
  </w:num>
  <w:num w:numId="23" w16cid:durableId="318075086">
    <w:abstractNumId w:val="19"/>
  </w:num>
  <w:num w:numId="24" w16cid:durableId="2103258495">
    <w:abstractNumId w:val="1"/>
  </w:num>
  <w:num w:numId="25" w16cid:durableId="321013228">
    <w:abstractNumId w:val="27"/>
  </w:num>
  <w:num w:numId="26" w16cid:durableId="1083644865">
    <w:abstractNumId w:val="29"/>
  </w:num>
  <w:num w:numId="27" w16cid:durableId="634601385">
    <w:abstractNumId w:val="17"/>
  </w:num>
  <w:num w:numId="28" w16cid:durableId="875196937">
    <w:abstractNumId w:val="16"/>
  </w:num>
  <w:num w:numId="29" w16cid:durableId="906843826">
    <w:abstractNumId w:val="10"/>
  </w:num>
  <w:num w:numId="30" w16cid:durableId="2064476588">
    <w:abstractNumId w:val="14"/>
  </w:num>
  <w:num w:numId="31" w16cid:durableId="966159424">
    <w:abstractNumId w:val="3"/>
  </w:num>
  <w:num w:numId="32" w16cid:durableId="4767245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B0"/>
    <w:rsid w:val="000105D4"/>
    <w:rsid w:val="00010F72"/>
    <w:rsid w:val="00011405"/>
    <w:rsid w:val="000122CD"/>
    <w:rsid w:val="00012FB4"/>
    <w:rsid w:val="0001341A"/>
    <w:rsid w:val="000151E5"/>
    <w:rsid w:val="00016309"/>
    <w:rsid w:val="000178C0"/>
    <w:rsid w:val="00017D9D"/>
    <w:rsid w:val="000218DB"/>
    <w:rsid w:val="00021A9A"/>
    <w:rsid w:val="0002298F"/>
    <w:rsid w:val="00023B27"/>
    <w:rsid w:val="0003268B"/>
    <w:rsid w:val="000329E2"/>
    <w:rsid w:val="00035EEE"/>
    <w:rsid w:val="0004033F"/>
    <w:rsid w:val="0004216C"/>
    <w:rsid w:val="0004297B"/>
    <w:rsid w:val="00043769"/>
    <w:rsid w:val="00043893"/>
    <w:rsid w:val="00043F5F"/>
    <w:rsid w:val="00047369"/>
    <w:rsid w:val="00055743"/>
    <w:rsid w:val="000558D0"/>
    <w:rsid w:val="000627E8"/>
    <w:rsid w:val="0006288F"/>
    <w:rsid w:val="00066506"/>
    <w:rsid w:val="00075F93"/>
    <w:rsid w:val="000760BB"/>
    <w:rsid w:val="00082F1C"/>
    <w:rsid w:val="000832AD"/>
    <w:rsid w:val="000839E3"/>
    <w:rsid w:val="0008660C"/>
    <w:rsid w:val="000876D0"/>
    <w:rsid w:val="000922AB"/>
    <w:rsid w:val="000932D8"/>
    <w:rsid w:val="000947C7"/>
    <w:rsid w:val="000951A3"/>
    <w:rsid w:val="000972C7"/>
    <w:rsid w:val="00097307"/>
    <w:rsid w:val="000A6AEA"/>
    <w:rsid w:val="000B3345"/>
    <w:rsid w:val="000B5724"/>
    <w:rsid w:val="000C063A"/>
    <w:rsid w:val="000C235C"/>
    <w:rsid w:val="000C23BE"/>
    <w:rsid w:val="000C2663"/>
    <w:rsid w:val="000C3069"/>
    <w:rsid w:val="000C3B5A"/>
    <w:rsid w:val="000C5A2C"/>
    <w:rsid w:val="000C6251"/>
    <w:rsid w:val="000D06FF"/>
    <w:rsid w:val="000D382A"/>
    <w:rsid w:val="000D7A09"/>
    <w:rsid w:val="000D7BE3"/>
    <w:rsid w:val="000E1610"/>
    <w:rsid w:val="000E2093"/>
    <w:rsid w:val="000E2250"/>
    <w:rsid w:val="000E38EC"/>
    <w:rsid w:val="000E7D01"/>
    <w:rsid w:val="000F20E2"/>
    <w:rsid w:val="000F3029"/>
    <w:rsid w:val="000F3FB3"/>
    <w:rsid w:val="000F4060"/>
    <w:rsid w:val="000F4387"/>
    <w:rsid w:val="001019D1"/>
    <w:rsid w:val="0010581E"/>
    <w:rsid w:val="0011176B"/>
    <w:rsid w:val="00115AFC"/>
    <w:rsid w:val="00117AFF"/>
    <w:rsid w:val="00121582"/>
    <w:rsid w:val="001243FC"/>
    <w:rsid w:val="00125C72"/>
    <w:rsid w:val="001268DF"/>
    <w:rsid w:val="00133149"/>
    <w:rsid w:val="00134C95"/>
    <w:rsid w:val="00134F51"/>
    <w:rsid w:val="00135E17"/>
    <w:rsid w:val="001403DD"/>
    <w:rsid w:val="00141098"/>
    <w:rsid w:val="001434CA"/>
    <w:rsid w:val="00144946"/>
    <w:rsid w:val="0014508E"/>
    <w:rsid w:val="00146690"/>
    <w:rsid w:val="001531B5"/>
    <w:rsid w:val="00162232"/>
    <w:rsid w:val="001650A0"/>
    <w:rsid w:val="0016716E"/>
    <w:rsid w:val="0017162D"/>
    <w:rsid w:val="00187FBD"/>
    <w:rsid w:val="001931D9"/>
    <w:rsid w:val="0019341C"/>
    <w:rsid w:val="00193464"/>
    <w:rsid w:val="00195C82"/>
    <w:rsid w:val="00197A09"/>
    <w:rsid w:val="001A6EEF"/>
    <w:rsid w:val="001B676D"/>
    <w:rsid w:val="001C4F3A"/>
    <w:rsid w:val="001C4F92"/>
    <w:rsid w:val="001C5E5A"/>
    <w:rsid w:val="001C7075"/>
    <w:rsid w:val="001D3CB9"/>
    <w:rsid w:val="001E0A3E"/>
    <w:rsid w:val="001E4277"/>
    <w:rsid w:val="001E62A5"/>
    <w:rsid w:val="001F29B2"/>
    <w:rsid w:val="00202E79"/>
    <w:rsid w:val="00203613"/>
    <w:rsid w:val="0020377F"/>
    <w:rsid w:val="0020527D"/>
    <w:rsid w:val="00211C5C"/>
    <w:rsid w:val="0021368E"/>
    <w:rsid w:val="002139EA"/>
    <w:rsid w:val="00213E63"/>
    <w:rsid w:val="00214855"/>
    <w:rsid w:val="00214ADD"/>
    <w:rsid w:val="00214D1F"/>
    <w:rsid w:val="00215725"/>
    <w:rsid w:val="002157C3"/>
    <w:rsid w:val="00216CCD"/>
    <w:rsid w:val="00221E7D"/>
    <w:rsid w:val="002263DD"/>
    <w:rsid w:val="00233056"/>
    <w:rsid w:val="002403AC"/>
    <w:rsid w:val="0024103F"/>
    <w:rsid w:val="002412ED"/>
    <w:rsid w:val="00241AAF"/>
    <w:rsid w:val="00243B2B"/>
    <w:rsid w:val="00247756"/>
    <w:rsid w:val="00254BFF"/>
    <w:rsid w:val="002562A4"/>
    <w:rsid w:val="00257E89"/>
    <w:rsid w:val="00260773"/>
    <w:rsid w:val="002656C4"/>
    <w:rsid w:val="002664A0"/>
    <w:rsid w:val="00274785"/>
    <w:rsid w:val="00275CB2"/>
    <w:rsid w:val="00282C3A"/>
    <w:rsid w:val="002857CA"/>
    <w:rsid w:val="00286497"/>
    <w:rsid w:val="00287E9D"/>
    <w:rsid w:val="002945BF"/>
    <w:rsid w:val="0029514B"/>
    <w:rsid w:val="0029573E"/>
    <w:rsid w:val="00297154"/>
    <w:rsid w:val="002A12D9"/>
    <w:rsid w:val="002A2DA1"/>
    <w:rsid w:val="002A353C"/>
    <w:rsid w:val="002A40D4"/>
    <w:rsid w:val="002A52DF"/>
    <w:rsid w:val="002A5394"/>
    <w:rsid w:val="002B244F"/>
    <w:rsid w:val="002B248A"/>
    <w:rsid w:val="002B67CD"/>
    <w:rsid w:val="002B7A8E"/>
    <w:rsid w:val="002C4B23"/>
    <w:rsid w:val="002C5C20"/>
    <w:rsid w:val="002C5C27"/>
    <w:rsid w:val="002D0B20"/>
    <w:rsid w:val="002D578C"/>
    <w:rsid w:val="002D6F15"/>
    <w:rsid w:val="002D7683"/>
    <w:rsid w:val="002E5299"/>
    <w:rsid w:val="002F3858"/>
    <w:rsid w:val="002F3B3D"/>
    <w:rsid w:val="002F444E"/>
    <w:rsid w:val="002F6CB7"/>
    <w:rsid w:val="0030445E"/>
    <w:rsid w:val="00305905"/>
    <w:rsid w:val="00307636"/>
    <w:rsid w:val="0031269D"/>
    <w:rsid w:val="003159A5"/>
    <w:rsid w:val="00316D11"/>
    <w:rsid w:val="003211BF"/>
    <w:rsid w:val="003275FB"/>
    <w:rsid w:val="00331F29"/>
    <w:rsid w:val="00334820"/>
    <w:rsid w:val="00336CD0"/>
    <w:rsid w:val="0034059C"/>
    <w:rsid w:val="00341BB8"/>
    <w:rsid w:val="00342DA4"/>
    <w:rsid w:val="00343333"/>
    <w:rsid w:val="00344AE7"/>
    <w:rsid w:val="00346E95"/>
    <w:rsid w:val="00347686"/>
    <w:rsid w:val="003611D8"/>
    <w:rsid w:val="00364FA1"/>
    <w:rsid w:val="00365792"/>
    <w:rsid w:val="0036633A"/>
    <w:rsid w:val="00367DA6"/>
    <w:rsid w:val="003710B2"/>
    <w:rsid w:val="00371BD7"/>
    <w:rsid w:val="003802CC"/>
    <w:rsid w:val="0038159C"/>
    <w:rsid w:val="003815EE"/>
    <w:rsid w:val="0038692A"/>
    <w:rsid w:val="00391791"/>
    <w:rsid w:val="00392567"/>
    <w:rsid w:val="00392825"/>
    <w:rsid w:val="00392ABA"/>
    <w:rsid w:val="003A057A"/>
    <w:rsid w:val="003A1950"/>
    <w:rsid w:val="003A5298"/>
    <w:rsid w:val="003A5BDF"/>
    <w:rsid w:val="003A6A4B"/>
    <w:rsid w:val="003A7D8A"/>
    <w:rsid w:val="003B031C"/>
    <w:rsid w:val="003B1332"/>
    <w:rsid w:val="003B79E9"/>
    <w:rsid w:val="003C139F"/>
    <w:rsid w:val="003D3D47"/>
    <w:rsid w:val="003D579C"/>
    <w:rsid w:val="003E043F"/>
    <w:rsid w:val="003E3F53"/>
    <w:rsid w:val="003F574D"/>
    <w:rsid w:val="004011EC"/>
    <w:rsid w:val="00404E5D"/>
    <w:rsid w:val="00404ECF"/>
    <w:rsid w:val="00407302"/>
    <w:rsid w:val="00407AD0"/>
    <w:rsid w:val="0042059C"/>
    <w:rsid w:val="00421E42"/>
    <w:rsid w:val="00422D52"/>
    <w:rsid w:val="00425781"/>
    <w:rsid w:val="00431FAA"/>
    <w:rsid w:val="0043424B"/>
    <w:rsid w:val="00434A6C"/>
    <w:rsid w:val="00435B6E"/>
    <w:rsid w:val="004404A9"/>
    <w:rsid w:val="00442B60"/>
    <w:rsid w:val="00445D26"/>
    <w:rsid w:val="00447C7D"/>
    <w:rsid w:val="004568B8"/>
    <w:rsid w:val="00457D0D"/>
    <w:rsid w:val="00463372"/>
    <w:rsid w:val="00463648"/>
    <w:rsid w:val="00466C20"/>
    <w:rsid w:val="00467962"/>
    <w:rsid w:val="004779C4"/>
    <w:rsid w:val="004850B9"/>
    <w:rsid w:val="00490D35"/>
    <w:rsid w:val="00494B62"/>
    <w:rsid w:val="004A00C5"/>
    <w:rsid w:val="004A013C"/>
    <w:rsid w:val="004A083C"/>
    <w:rsid w:val="004A1418"/>
    <w:rsid w:val="004A14DF"/>
    <w:rsid w:val="004A4BD4"/>
    <w:rsid w:val="004A71C3"/>
    <w:rsid w:val="004B1984"/>
    <w:rsid w:val="004B26B9"/>
    <w:rsid w:val="004B49FF"/>
    <w:rsid w:val="004C3820"/>
    <w:rsid w:val="004C3FBF"/>
    <w:rsid w:val="004C5B9F"/>
    <w:rsid w:val="004D2B64"/>
    <w:rsid w:val="004D54B5"/>
    <w:rsid w:val="004D6D69"/>
    <w:rsid w:val="004D7CF5"/>
    <w:rsid w:val="004E0374"/>
    <w:rsid w:val="004E4598"/>
    <w:rsid w:val="004E4AC6"/>
    <w:rsid w:val="004E6FD8"/>
    <w:rsid w:val="004F08BA"/>
    <w:rsid w:val="004F20C9"/>
    <w:rsid w:val="004F5072"/>
    <w:rsid w:val="004F5A05"/>
    <w:rsid w:val="00500DFA"/>
    <w:rsid w:val="00501B08"/>
    <w:rsid w:val="0050399A"/>
    <w:rsid w:val="0050773C"/>
    <w:rsid w:val="00510313"/>
    <w:rsid w:val="0051427F"/>
    <w:rsid w:val="00515C49"/>
    <w:rsid w:val="00522078"/>
    <w:rsid w:val="00527FE1"/>
    <w:rsid w:val="00534966"/>
    <w:rsid w:val="00535C16"/>
    <w:rsid w:val="005370A0"/>
    <w:rsid w:val="00540B94"/>
    <w:rsid w:val="00542E9D"/>
    <w:rsid w:val="005504B6"/>
    <w:rsid w:val="00554552"/>
    <w:rsid w:val="00555450"/>
    <w:rsid w:val="00555BEB"/>
    <w:rsid w:val="00556CAD"/>
    <w:rsid w:val="0056132F"/>
    <w:rsid w:val="0056154E"/>
    <w:rsid w:val="00562871"/>
    <w:rsid w:val="00562F32"/>
    <w:rsid w:val="005654BA"/>
    <w:rsid w:val="0056557C"/>
    <w:rsid w:val="00571441"/>
    <w:rsid w:val="00572960"/>
    <w:rsid w:val="00575BDB"/>
    <w:rsid w:val="0057636D"/>
    <w:rsid w:val="005804D7"/>
    <w:rsid w:val="00582318"/>
    <w:rsid w:val="005846EA"/>
    <w:rsid w:val="00584FA2"/>
    <w:rsid w:val="00585229"/>
    <w:rsid w:val="00585284"/>
    <w:rsid w:val="005862C6"/>
    <w:rsid w:val="00590440"/>
    <w:rsid w:val="00591519"/>
    <w:rsid w:val="005921AD"/>
    <w:rsid w:val="00596519"/>
    <w:rsid w:val="00596985"/>
    <w:rsid w:val="005A34A6"/>
    <w:rsid w:val="005A6168"/>
    <w:rsid w:val="005A6782"/>
    <w:rsid w:val="005A67A1"/>
    <w:rsid w:val="005B50F8"/>
    <w:rsid w:val="005B703C"/>
    <w:rsid w:val="005C05FF"/>
    <w:rsid w:val="005C454A"/>
    <w:rsid w:val="005C599B"/>
    <w:rsid w:val="005C6978"/>
    <w:rsid w:val="005D418C"/>
    <w:rsid w:val="005E1D15"/>
    <w:rsid w:val="005F0E0A"/>
    <w:rsid w:val="005F2EC9"/>
    <w:rsid w:val="00601261"/>
    <w:rsid w:val="006029E7"/>
    <w:rsid w:val="00604AA2"/>
    <w:rsid w:val="006061CA"/>
    <w:rsid w:val="00606501"/>
    <w:rsid w:val="00610198"/>
    <w:rsid w:val="006120D6"/>
    <w:rsid w:val="0061220F"/>
    <w:rsid w:val="006132C3"/>
    <w:rsid w:val="00620BB3"/>
    <w:rsid w:val="00640C46"/>
    <w:rsid w:val="00643588"/>
    <w:rsid w:val="00653580"/>
    <w:rsid w:val="006572D7"/>
    <w:rsid w:val="006618A2"/>
    <w:rsid w:val="00665082"/>
    <w:rsid w:val="0066751A"/>
    <w:rsid w:val="00670657"/>
    <w:rsid w:val="00673756"/>
    <w:rsid w:val="00674428"/>
    <w:rsid w:val="00676076"/>
    <w:rsid w:val="00684A9F"/>
    <w:rsid w:val="00686CE5"/>
    <w:rsid w:val="00693B1E"/>
    <w:rsid w:val="0069631D"/>
    <w:rsid w:val="006A012A"/>
    <w:rsid w:val="006B1A8E"/>
    <w:rsid w:val="006B1D50"/>
    <w:rsid w:val="006C0C48"/>
    <w:rsid w:val="006C5161"/>
    <w:rsid w:val="006D0A95"/>
    <w:rsid w:val="006D1099"/>
    <w:rsid w:val="006D43D1"/>
    <w:rsid w:val="006D6AC1"/>
    <w:rsid w:val="006E2E34"/>
    <w:rsid w:val="006E5CE2"/>
    <w:rsid w:val="006E7D31"/>
    <w:rsid w:val="006E7EA9"/>
    <w:rsid w:val="006F0E48"/>
    <w:rsid w:val="006F1B88"/>
    <w:rsid w:val="006F5960"/>
    <w:rsid w:val="00702151"/>
    <w:rsid w:val="00705B0A"/>
    <w:rsid w:val="00707925"/>
    <w:rsid w:val="007108EE"/>
    <w:rsid w:val="00712330"/>
    <w:rsid w:val="00715913"/>
    <w:rsid w:val="00715FBE"/>
    <w:rsid w:val="00720118"/>
    <w:rsid w:val="00720A1E"/>
    <w:rsid w:val="00723799"/>
    <w:rsid w:val="007246D5"/>
    <w:rsid w:val="00724AD5"/>
    <w:rsid w:val="007350DF"/>
    <w:rsid w:val="00741CD6"/>
    <w:rsid w:val="00741F17"/>
    <w:rsid w:val="00741F5F"/>
    <w:rsid w:val="007452DB"/>
    <w:rsid w:val="00746F61"/>
    <w:rsid w:val="00747426"/>
    <w:rsid w:val="00750343"/>
    <w:rsid w:val="00750589"/>
    <w:rsid w:val="00750E3F"/>
    <w:rsid w:val="0075101E"/>
    <w:rsid w:val="007520B5"/>
    <w:rsid w:val="00753722"/>
    <w:rsid w:val="00756B86"/>
    <w:rsid w:val="007612CB"/>
    <w:rsid w:val="00762646"/>
    <w:rsid w:val="00763A0D"/>
    <w:rsid w:val="0076579B"/>
    <w:rsid w:val="0077020C"/>
    <w:rsid w:val="00770626"/>
    <w:rsid w:val="007707B7"/>
    <w:rsid w:val="007725F9"/>
    <w:rsid w:val="00777B45"/>
    <w:rsid w:val="00777C6E"/>
    <w:rsid w:val="0078234B"/>
    <w:rsid w:val="00783466"/>
    <w:rsid w:val="00793070"/>
    <w:rsid w:val="00795312"/>
    <w:rsid w:val="00796483"/>
    <w:rsid w:val="0079704D"/>
    <w:rsid w:val="007A16FB"/>
    <w:rsid w:val="007A354E"/>
    <w:rsid w:val="007A5394"/>
    <w:rsid w:val="007A72A7"/>
    <w:rsid w:val="007A7416"/>
    <w:rsid w:val="007B2409"/>
    <w:rsid w:val="007C2AFA"/>
    <w:rsid w:val="007C2BFB"/>
    <w:rsid w:val="007C7209"/>
    <w:rsid w:val="007D2B33"/>
    <w:rsid w:val="007E09A2"/>
    <w:rsid w:val="007E5964"/>
    <w:rsid w:val="007E6B93"/>
    <w:rsid w:val="007E6EC1"/>
    <w:rsid w:val="007F1633"/>
    <w:rsid w:val="007F1DE0"/>
    <w:rsid w:val="007F2A0C"/>
    <w:rsid w:val="007F3E24"/>
    <w:rsid w:val="007F5B59"/>
    <w:rsid w:val="008112B6"/>
    <w:rsid w:val="00815D15"/>
    <w:rsid w:val="00816C30"/>
    <w:rsid w:val="0082199C"/>
    <w:rsid w:val="00827750"/>
    <w:rsid w:val="00827BF9"/>
    <w:rsid w:val="00831B03"/>
    <w:rsid w:val="00832BDC"/>
    <w:rsid w:val="008332AB"/>
    <w:rsid w:val="00834E52"/>
    <w:rsid w:val="00840864"/>
    <w:rsid w:val="0084195F"/>
    <w:rsid w:val="008430E9"/>
    <w:rsid w:val="00845005"/>
    <w:rsid w:val="00847C1F"/>
    <w:rsid w:val="0085157F"/>
    <w:rsid w:val="0085435A"/>
    <w:rsid w:val="00856133"/>
    <w:rsid w:val="00866611"/>
    <w:rsid w:val="008675EE"/>
    <w:rsid w:val="00870404"/>
    <w:rsid w:val="00870F2B"/>
    <w:rsid w:val="0087327B"/>
    <w:rsid w:val="00875C5A"/>
    <w:rsid w:val="00881937"/>
    <w:rsid w:val="00883C39"/>
    <w:rsid w:val="0088576D"/>
    <w:rsid w:val="00885B13"/>
    <w:rsid w:val="008911A6"/>
    <w:rsid w:val="00891ACC"/>
    <w:rsid w:val="008954B6"/>
    <w:rsid w:val="008A2A70"/>
    <w:rsid w:val="008A2FAE"/>
    <w:rsid w:val="008A35FA"/>
    <w:rsid w:val="008A389B"/>
    <w:rsid w:val="008B128F"/>
    <w:rsid w:val="008B2E3C"/>
    <w:rsid w:val="008B2FB8"/>
    <w:rsid w:val="008B4087"/>
    <w:rsid w:val="008B5DB2"/>
    <w:rsid w:val="008C397F"/>
    <w:rsid w:val="008C6F23"/>
    <w:rsid w:val="008D00A6"/>
    <w:rsid w:val="008D1F60"/>
    <w:rsid w:val="008D2C8A"/>
    <w:rsid w:val="008D40FB"/>
    <w:rsid w:val="008D6476"/>
    <w:rsid w:val="008D7432"/>
    <w:rsid w:val="008E149C"/>
    <w:rsid w:val="008E3A74"/>
    <w:rsid w:val="008E7AE1"/>
    <w:rsid w:val="008F0902"/>
    <w:rsid w:val="008F4501"/>
    <w:rsid w:val="00900FD3"/>
    <w:rsid w:val="00907092"/>
    <w:rsid w:val="0091041C"/>
    <w:rsid w:val="0091220B"/>
    <w:rsid w:val="00913461"/>
    <w:rsid w:val="0091487A"/>
    <w:rsid w:val="00917330"/>
    <w:rsid w:val="00922DAF"/>
    <w:rsid w:val="009253AB"/>
    <w:rsid w:val="00925800"/>
    <w:rsid w:val="009269FF"/>
    <w:rsid w:val="009272C9"/>
    <w:rsid w:val="0093008E"/>
    <w:rsid w:val="00930A9C"/>
    <w:rsid w:val="00930FFC"/>
    <w:rsid w:val="009319B2"/>
    <w:rsid w:val="0093420E"/>
    <w:rsid w:val="009344C5"/>
    <w:rsid w:val="00934DA7"/>
    <w:rsid w:val="00937611"/>
    <w:rsid w:val="00947B6A"/>
    <w:rsid w:val="009508C0"/>
    <w:rsid w:val="009545B1"/>
    <w:rsid w:val="00956594"/>
    <w:rsid w:val="0095676C"/>
    <w:rsid w:val="00964158"/>
    <w:rsid w:val="009657E9"/>
    <w:rsid w:val="00965CE1"/>
    <w:rsid w:val="00966C70"/>
    <w:rsid w:val="009743F9"/>
    <w:rsid w:val="0097738A"/>
    <w:rsid w:val="0098357B"/>
    <w:rsid w:val="00983EA2"/>
    <w:rsid w:val="00986346"/>
    <w:rsid w:val="009908DE"/>
    <w:rsid w:val="00991F7E"/>
    <w:rsid w:val="0099348D"/>
    <w:rsid w:val="00996D6D"/>
    <w:rsid w:val="009A170A"/>
    <w:rsid w:val="009A5EF9"/>
    <w:rsid w:val="009A7F1E"/>
    <w:rsid w:val="009B20FE"/>
    <w:rsid w:val="009B328D"/>
    <w:rsid w:val="009C268E"/>
    <w:rsid w:val="009C4BA1"/>
    <w:rsid w:val="009C65D7"/>
    <w:rsid w:val="009D0355"/>
    <w:rsid w:val="009D5E51"/>
    <w:rsid w:val="009E0CF7"/>
    <w:rsid w:val="009E1E7F"/>
    <w:rsid w:val="009E25B0"/>
    <w:rsid w:val="009E2B7F"/>
    <w:rsid w:val="009F04A8"/>
    <w:rsid w:val="009F0984"/>
    <w:rsid w:val="009F10B8"/>
    <w:rsid w:val="009F1306"/>
    <w:rsid w:val="009F2D73"/>
    <w:rsid w:val="009F523D"/>
    <w:rsid w:val="009F6FD9"/>
    <w:rsid w:val="00A072C5"/>
    <w:rsid w:val="00A109A0"/>
    <w:rsid w:val="00A15216"/>
    <w:rsid w:val="00A158D9"/>
    <w:rsid w:val="00A1604A"/>
    <w:rsid w:val="00A162EB"/>
    <w:rsid w:val="00A16791"/>
    <w:rsid w:val="00A220E6"/>
    <w:rsid w:val="00A2504E"/>
    <w:rsid w:val="00A25802"/>
    <w:rsid w:val="00A31C18"/>
    <w:rsid w:val="00A331F5"/>
    <w:rsid w:val="00A34B3B"/>
    <w:rsid w:val="00A34DA1"/>
    <w:rsid w:val="00A36E83"/>
    <w:rsid w:val="00A37077"/>
    <w:rsid w:val="00A430DE"/>
    <w:rsid w:val="00A45DC0"/>
    <w:rsid w:val="00A46453"/>
    <w:rsid w:val="00A46DE9"/>
    <w:rsid w:val="00A51122"/>
    <w:rsid w:val="00A54893"/>
    <w:rsid w:val="00A56AB1"/>
    <w:rsid w:val="00A61318"/>
    <w:rsid w:val="00A62219"/>
    <w:rsid w:val="00A62507"/>
    <w:rsid w:val="00A65759"/>
    <w:rsid w:val="00A6712B"/>
    <w:rsid w:val="00A672BE"/>
    <w:rsid w:val="00A75D50"/>
    <w:rsid w:val="00A7676F"/>
    <w:rsid w:val="00A818F7"/>
    <w:rsid w:val="00A81E35"/>
    <w:rsid w:val="00A92ACC"/>
    <w:rsid w:val="00A963EF"/>
    <w:rsid w:val="00AA155B"/>
    <w:rsid w:val="00AA2DD5"/>
    <w:rsid w:val="00AA6C41"/>
    <w:rsid w:val="00AB120C"/>
    <w:rsid w:val="00AB2F65"/>
    <w:rsid w:val="00AB3B2B"/>
    <w:rsid w:val="00AB488E"/>
    <w:rsid w:val="00AB5D41"/>
    <w:rsid w:val="00AC1EF0"/>
    <w:rsid w:val="00AC2990"/>
    <w:rsid w:val="00AC3E44"/>
    <w:rsid w:val="00AD20A4"/>
    <w:rsid w:val="00AD399E"/>
    <w:rsid w:val="00AE2904"/>
    <w:rsid w:val="00AE5894"/>
    <w:rsid w:val="00AE6324"/>
    <w:rsid w:val="00AF2169"/>
    <w:rsid w:val="00AF39FE"/>
    <w:rsid w:val="00AF712C"/>
    <w:rsid w:val="00B02759"/>
    <w:rsid w:val="00B058F7"/>
    <w:rsid w:val="00B05ADC"/>
    <w:rsid w:val="00B06291"/>
    <w:rsid w:val="00B06DD3"/>
    <w:rsid w:val="00B122B0"/>
    <w:rsid w:val="00B1231A"/>
    <w:rsid w:val="00B15BFC"/>
    <w:rsid w:val="00B21D75"/>
    <w:rsid w:val="00B22127"/>
    <w:rsid w:val="00B22D21"/>
    <w:rsid w:val="00B2337F"/>
    <w:rsid w:val="00B30D2F"/>
    <w:rsid w:val="00B312CD"/>
    <w:rsid w:val="00B313FA"/>
    <w:rsid w:val="00B34B37"/>
    <w:rsid w:val="00B35458"/>
    <w:rsid w:val="00B40467"/>
    <w:rsid w:val="00B42E08"/>
    <w:rsid w:val="00B43056"/>
    <w:rsid w:val="00B4334E"/>
    <w:rsid w:val="00B523ED"/>
    <w:rsid w:val="00B53C75"/>
    <w:rsid w:val="00B56EDC"/>
    <w:rsid w:val="00B65740"/>
    <w:rsid w:val="00B703F7"/>
    <w:rsid w:val="00B72570"/>
    <w:rsid w:val="00B7450F"/>
    <w:rsid w:val="00B74671"/>
    <w:rsid w:val="00B76039"/>
    <w:rsid w:val="00B77646"/>
    <w:rsid w:val="00B77E3B"/>
    <w:rsid w:val="00B80163"/>
    <w:rsid w:val="00B820D1"/>
    <w:rsid w:val="00B86A95"/>
    <w:rsid w:val="00B8787C"/>
    <w:rsid w:val="00B94637"/>
    <w:rsid w:val="00B958AC"/>
    <w:rsid w:val="00B96D7D"/>
    <w:rsid w:val="00B9702E"/>
    <w:rsid w:val="00BA07F8"/>
    <w:rsid w:val="00BA1275"/>
    <w:rsid w:val="00BA2703"/>
    <w:rsid w:val="00BA34CC"/>
    <w:rsid w:val="00BA3FF8"/>
    <w:rsid w:val="00BA56D0"/>
    <w:rsid w:val="00BB1852"/>
    <w:rsid w:val="00BB1D19"/>
    <w:rsid w:val="00BB3775"/>
    <w:rsid w:val="00BC2C68"/>
    <w:rsid w:val="00BC3A36"/>
    <w:rsid w:val="00BC5AA5"/>
    <w:rsid w:val="00BD1AA2"/>
    <w:rsid w:val="00BD4F10"/>
    <w:rsid w:val="00BE15FF"/>
    <w:rsid w:val="00BE2657"/>
    <w:rsid w:val="00BE458B"/>
    <w:rsid w:val="00BE6AE7"/>
    <w:rsid w:val="00BF142D"/>
    <w:rsid w:val="00BF4107"/>
    <w:rsid w:val="00BF6DB0"/>
    <w:rsid w:val="00C00818"/>
    <w:rsid w:val="00C02120"/>
    <w:rsid w:val="00C021C8"/>
    <w:rsid w:val="00C03424"/>
    <w:rsid w:val="00C0379C"/>
    <w:rsid w:val="00C04F19"/>
    <w:rsid w:val="00C14B72"/>
    <w:rsid w:val="00C15C80"/>
    <w:rsid w:val="00C1606A"/>
    <w:rsid w:val="00C16CB7"/>
    <w:rsid w:val="00C20375"/>
    <w:rsid w:val="00C25AB8"/>
    <w:rsid w:val="00C31046"/>
    <w:rsid w:val="00C32D2D"/>
    <w:rsid w:val="00C3371D"/>
    <w:rsid w:val="00C3477F"/>
    <w:rsid w:val="00C37EB8"/>
    <w:rsid w:val="00C47BFF"/>
    <w:rsid w:val="00C5290B"/>
    <w:rsid w:val="00C52CFA"/>
    <w:rsid w:val="00C55E17"/>
    <w:rsid w:val="00C60988"/>
    <w:rsid w:val="00C65E84"/>
    <w:rsid w:val="00C663E8"/>
    <w:rsid w:val="00C73EF6"/>
    <w:rsid w:val="00C74B71"/>
    <w:rsid w:val="00C775ED"/>
    <w:rsid w:val="00C8330E"/>
    <w:rsid w:val="00C867CF"/>
    <w:rsid w:val="00C90985"/>
    <w:rsid w:val="00C932B1"/>
    <w:rsid w:val="00C94247"/>
    <w:rsid w:val="00CA0823"/>
    <w:rsid w:val="00CA376C"/>
    <w:rsid w:val="00CA4A78"/>
    <w:rsid w:val="00CA59B5"/>
    <w:rsid w:val="00CA5B7F"/>
    <w:rsid w:val="00CA6759"/>
    <w:rsid w:val="00CA6CE9"/>
    <w:rsid w:val="00CA7884"/>
    <w:rsid w:val="00CB0358"/>
    <w:rsid w:val="00CB416B"/>
    <w:rsid w:val="00CB4EC0"/>
    <w:rsid w:val="00CC506B"/>
    <w:rsid w:val="00CD2E97"/>
    <w:rsid w:val="00CD59BC"/>
    <w:rsid w:val="00CE0BDF"/>
    <w:rsid w:val="00CE1727"/>
    <w:rsid w:val="00CE3558"/>
    <w:rsid w:val="00CE680F"/>
    <w:rsid w:val="00CE6846"/>
    <w:rsid w:val="00CE7BAC"/>
    <w:rsid w:val="00CF4837"/>
    <w:rsid w:val="00D004F9"/>
    <w:rsid w:val="00D01234"/>
    <w:rsid w:val="00D07A17"/>
    <w:rsid w:val="00D10467"/>
    <w:rsid w:val="00D17731"/>
    <w:rsid w:val="00D22A0C"/>
    <w:rsid w:val="00D236F1"/>
    <w:rsid w:val="00D23B6C"/>
    <w:rsid w:val="00D26104"/>
    <w:rsid w:val="00D2618F"/>
    <w:rsid w:val="00D27A17"/>
    <w:rsid w:val="00D328A5"/>
    <w:rsid w:val="00D41854"/>
    <w:rsid w:val="00D41FF3"/>
    <w:rsid w:val="00D42FF2"/>
    <w:rsid w:val="00D433E3"/>
    <w:rsid w:val="00D437AB"/>
    <w:rsid w:val="00D44B9E"/>
    <w:rsid w:val="00D45657"/>
    <w:rsid w:val="00D46E18"/>
    <w:rsid w:val="00D50920"/>
    <w:rsid w:val="00D50F5B"/>
    <w:rsid w:val="00D5372B"/>
    <w:rsid w:val="00D56D79"/>
    <w:rsid w:val="00D65DED"/>
    <w:rsid w:val="00D67656"/>
    <w:rsid w:val="00D707B1"/>
    <w:rsid w:val="00D76FBB"/>
    <w:rsid w:val="00D8231A"/>
    <w:rsid w:val="00D850A2"/>
    <w:rsid w:val="00D858FC"/>
    <w:rsid w:val="00D91792"/>
    <w:rsid w:val="00D9283A"/>
    <w:rsid w:val="00D956BF"/>
    <w:rsid w:val="00DA6B02"/>
    <w:rsid w:val="00DB6DBF"/>
    <w:rsid w:val="00DC1571"/>
    <w:rsid w:val="00DC25F2"/>
    <w:rsid w:val="00DC439B"/>
    <w:rsid w:val="00DC5CA8"/>
    <w:rsid w:val="00DC636C"/>
    <w:rsid w:val="00DD234F"/>
    <w:rsid w:val="00DD3940"/>
    <w:rsid w:val="00DD4625"/>
    <w:rsid w:val="00DE503B"/>
    <w:rsid w:val="00DE5FDA"/>
    <w:rsid w:val="00DE6D6F"/>
    <w:rsid w:val="00DE728F"/>
    <w:rsid w:val="00DF0111"/>
    <w:rsid w:val="00DF0B68"/>
    <w:rsid w:val="00DF226F"/>
    <w:rsid w:val="00DF4331"/>
    <w:rsid w:val="00DF56EE"/>
    <w:rsid w:val="00DF5D22"/>
    <w:rsid w:val="00E01BED"/>
    <w:rsid w:val="00E02C7B"/>
    <w:rsid w:val="00E02F10"/>
    <w:rsid w:val="00E039E5"/>
    <w:rsid w:val="00E066C3"/>
    <w:rsid w:val="00E124E7"/>
    <w:rsid w:val="00E150B1"/>
    <w:rsid w:val="00E15813"/>
    <w:rsid w:val="00E16D72"/>
    <w:rsid w:val="00E20AF8"/>
    <w:rsid w:val="00E21833"/>
    <w:rsid w:val="00E22549"/>
    <w:rsid w:val="00E257C2"/>
    <w:rsid w:val="00E30BE6"/>
    <w:rsid w:val="00E34357"/>
    <w:rsid w:val="00E35994"/>
    <w:rsid w:val="00E362CD"/>
    <w:rsid w:val="00E369F3"/>
    <w:rsid w:val="00E42850"/>
    <w:rsid w:val="00E44732"/>
    <w:rsid w:val="00E461D3"/>
    <w:rsid w:val="00E51C11"/>
    <w:rsid w:val="00E51DD8"/>
    <w:rsid w:val="00E570F6"/>
    <w:rsid w:val="00E723CF"/>
    <w:rsid w:val="00E73AB4"/>
    <w:rsid w:val="00E807AA"/>
    <w:rsid w:val="00E837A6"/>
    <w:rsid w:val="00E84E1A"/>
    <w:rsid w:val="00E86FCD"/>
    <w:rsid w:val="00E9160D"/>
    <w:rsid w:val="00E978C7"/>
    <w:rsid w:val="00EA06E4"/>
    <w:rsid w:val="00EA3A7F"/>
    <w:rsid w:val="00EB1422"/>
    <w:rsid w:val="00EB33FE"/>
    <w:rsid w:val="00EC0558"/>
    <w:rsid w:val="00EC258D"/>
    <w:rsid w:val="00EC789D"/>
    <w:rsid w:val="00ED0FF9"/>
    <w:rsid w:val="00ED11B4"/>
    <w:rsid w:val="00ED3FE5"/>
    <w:rsid w:val="00ED46B1"/>
    <w:rsid w:val="00ED7937"/>
    <w:rsid w:val="00EE02EB"/>
    <w:rsid w:val="00EE70ED"/>
    <w:rsid w:val="00EF069F"/>
    <w:rsid w:val="00EF1CF1"/>
    <w:rsid w:val="00EF332B"/>
    <w:rsid w:val="00F02EE8"/>
    <w:rsid w:val="00F0336A"/>
    <w:rsid w:val="00F04B02"/>
    <w:rsid w:val="00F05107"/>
    <w:rsid w:val="00F12116"/>
    <w:rsid w:val="00F14873"/>
    <w:rsid w:val="00F16156"/>
    <w:rsid w:val="00F16624"/>
    <w:rsid w:val="00F20DA4"/>
    <w:rsid w:val="00F314BE"/>
    <w:rsid w:val="00F35A5A"/>
    <w:rsid w:val="00F36F86"/>
    <w:rsid w:val="00F47035"/>
    <w:rsid w:val="00F509C9"/>
    <w:rsid w:val="00F514D1"/>
    <w:rsid w:val="00F5546F"/>
    <w:rsid w:val="00F55522"/>
    <w:rsid w:val="00F63370"/>
    <w:rsid w:val="00F64B06"/>
    <w:rsid w:val="00F65637"/>
    <w:rsid w:val="00F658C9"/>
    <w:rsid w:val="00F65B83"/>
    <w:rsid w:val="00F670CB"/>
    <w:rsid w:val="00F670E2"/>
    <w:rsid w:val="00F73AED"/>
    <w:rsid w:val="00F80D6D"/>
    <w:rsid w:val="00F80D9E"/>
    <w:rsid w:val="00F87B4A"/>
    <w:rsid w:val="00F95657"/>
    <w:rsid w:val="00F95CDE"/>
    <w:rsid w:val="00FA1A81"/>
    <w:rsid w:val="00FA2164"/>
    <w:rsid w:val="00FB17BC"/>
    <w:rsid w:val="00FB3A16"/>
    <w:rsid w:val="00FB5A32"/>
    <w:rsid w:val="00FB5AEA"/>
    <w:rsid w:val="00FB6324"/>
    <w:rsid w:val="00FB6530"/>
    <w:rsid w:val="00FB7BFE"/>
    <w:rsid w:val="00FC4099"/>
    <w:rsid w:val="00FC48E9"/>
    <w:rsid w:val="00FC5C72"/>
    <w:rsid w:val="00FC74F6"/>
    <w:rsid w:val="00FD01EC"/>
    <w:rsid w:val="00FD0697"/>
    <w:rsid w:val="00FE1CE2"/>
    <w:rsid w:val="00FE37EC"/>
    <w:rsid w:val="00FE4CE5"/>
    <w:rsid w:val="00FF360F"/>
    <w:rsid w:val="00FF4249"/>
    <w:rsid w:val="0267ED06"/>
    <w:rsid w:val="03444FBC"/>
    <w:rsid w:val="0361B39B"/>
    <w:rsid w:val="05DEA994"/>
    <w:rsid w:val="084A11AB"/>
    <w:rsid w:val="08DE334A"/>
    <w:rsid w:val="0D108367"/>
    <w:rsid w:val="11E3F48A"/>
    <w:rsid w:val="1624A2C1"/>
    <w:rsid w:val="169A9BC9"/>
    <w:rsid w:val="17607439"/>
    <w:rsid w:val="1824E8C3"/>
    <w:rsid w:val="1A9814FB"/>
    <w:rsid w:val="1AD97B16"/>
    <w:rsid w:val="1B16AAA1"/>
    <w:rsid w:val="1BAF1D7E"/>
    <w:rsid w:val="1C754B77"/>
    <w:rsid w:val="1DB39728"/>
    <w:rsid w:val="1F6B861E"/>
    <w:rsid w:val="1FACEC39"/>
    <w:rsid w:val="20A2A25B"/>
    <w:rsid w:val="253EE3D1"/>
    <w:rsid w:val="25C13A9E"/>
    <w:rsid w:val="27A8240D"/>
    <w:rsid w:val="29CFCFC0"/>
    <w:rsid w:val="29ED02FA"/>
    <w:rsid w:val="2B5EA11D"/>
    <w:rsid w:val="2DB56427"/>
    <w:rsid w:val="2DDE0A76"/>
    <w:rsid w:val="2F0B2884"/>
    <w:rsid w:val="2F5DE9D2"/>
    <w:rsid w:val="2FB335F2"/>
    <w:rsid w:val="301EFC04"/>
    <w:rsid w:val="306B99C4"/>
    <w:rsid w:val="31B028F7"/>
    <w:rsid w:val="328ADC99"/>
    <w:rsid w:val="36859268"/>
    <w:rsid w:val="36B25DA5"/>
    <w:rsid w:val="390E026B"/>
    <w:rsid w:val="3BBBACD5"/>
    <w:rsid w:val="402FFA11"/>
    <w:rsid w:val="41AB7C58"/>
    <w:rsid w:val="42367667"/>
    <w:rsid w:val="428FEFF0"/>
    <w:rsid w:val="42A4A699"/>
    <w:rsid w:val="45776575"/>
    <w:rsid w:val="48CC772E"/>
    <w:rsid w:val="4A1C7B74"/>
    <w:rsid w:val="4E62F18E"/>
    <w:rsid w:val="56386C9B"/>
    <w:rsid w:val="59E9556C"/>
    <w:rsid w:val="5BD138D7"/>
    <w:rsid w:val="5C9F8B09"/>
    <w:rsid w:val="5D4E34AE"/>
    <w:rsid w:val="60ED835E"/>
    <w:rsid w:val="61680F9B"/>
    <w:rsid w:val="631D0859"/>
    <w:rsid w:val="663B80BE"/>
    <w:rsid w:val="67D7511F"/>
    <w:rsid w:val="67E751C9"/>
    <w:rsid w:val="69905516"/>
    <w:rsid w:val="6A5CF9B0"/>
    <w:rsid w:val="6B0EF1E1"/>
    <w:rsid w:val="6C01B3B6"/>
    <w:rsid w:val="6C5A4958"/>
    <w:rsid w:val="74E76031"/>
    <w:rsid w:val="74F2E337"/>
    <w:rsid w:val="76381784"/>
    <w:rsid w:val="77E0AD36"/>
    <w:rsid w:val="78A7572A"/>
    <w:rsid w:val="78DD12B4"/>
    <w:rsid w:val="7A1C5600"/>
    <w:rsid w:val="7B56A1B5"/>
    <w:rsid w:val="7DC3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6742C"/>
  <w14:defaultImageDpi w14:val="32767"/>
  <w15:chartTrackingRefBased/>
  <w15:docId w15:val="{FD7F1A5C-13A7-4EB6-A107-A827CCD9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46"/>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A430DE"/>
  </w:style>
  <w:style w:type="character" w:customStyle="1" w:styleId="FooterChar">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rsid w:val="00E066C3"/>
    <w:rPr>
      <w:rFonts w:eastAsiaTheme="minorEastAsia"/>
      <w:sz w:val="22"/>
      <w:szCs w:val="22"/>
      <w:lang w:val="en-US" w:eastAsia="zh-CN"/>
    </w:rPr>
  </w:style>
  <w:style w:type="paragraph" w:customStyle="1" w:styleId="MOJaddress">
    <w:name w:val="MOJ address"/>
    <w:uiPriority w:val="29"/>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customStyle="1" w:styleId="Heading1Char">
    <w:name w:val="Heading 1 Char"/>
    <w:basedOn w:val="DefaultParagraphFont"/>
    <w:link w:val="Heading1"/>
    <w:uiPriority w:val="1"/>
    <w:rsid w:val="00435B6E"/>
    <w:rPr>
      <w:rFonts w:ascii="Arial" w:eastAsiaTheme="majorEastAsia" w:hAnsi="Arial" w:cstheme="majorBidi"/>
      <w:b/>
      <w:color w:val="0A548B"/>
      <w:sz w:val="36"/>
      <w:szCs w:val="36"/>
    </w:rPr>
  </w:style>
  <w:style w:type="character" w:customStyle="1" w:styleId="Heading2Char">
    <w:name w:val="Heading 2 Char"/>
    <w:basedOn w:val="DefaultParagraphFont"/>
    <w:link w:val="Heading2"/>
    <w:uiPriority w:val="2"/>
    <w:rsid w:val="00937611"/>
    <w:rPr>
      <w:rFonts w:ascii="Arial" w:eastAsiaTheme="majorEastAsia" w:hAnsi="Arial" w:cstheme="majorBidi"/>
      <w:b/>
      <w:color w:val="0A548B"/>
      <w:sz w:val="32"/>
      <w:szCs w:val="26"/>
    </w:rPr>
  </w:style>
  <w:style w:type="character" w:customStyle="1" w:styleId="Heading3Char">
    <w:name w:val="Heading 3 Char"/>
    <w:basedOn w:val="DefaultParagraphFont"/>
    <w:link w:val="Heading3"/>
    <w:uiPriority w:val="3"/>
    <w:rsid w:val="00115AFC"/>
    <w:rPr>
      <w:rFonts w:ascii="Arial" w:eastAsiaTheme="majorEastAsia" w:hAnsi="Arial"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customStyle="1" w:styleId="TitleChar">
    <w:name w:val="Title Char"/>
    <w:basedOn w:val="DefaultParagraphFont"/>
    <w:link w:val="Title"/>
    <w:uiPriority w:val="10"/>
    <w:rsid w:val="00A158D9"/>
    <w:rPr>
      <w:rFonts w:ascii="Arial" w:eastAsiaTheme="majorEastAsia" w:hAnsi="Arial"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rsid w:val="008332AB"/>
    <w:pPr>
      <w:ind w:left="720"/>
      <w:contextualSpacing/>
    </w:pPr>
  </w:style>
  <w:style w:type="table" w:styleId="TableGrid">
    <w:name w:val="Table Grid"/>
    <w:basedOn w:val="TableNormal"/>
    <w:uiPriority w:val="3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04033F"/>
    <w:rPr>
      <w:rFonts w:ascii="Arial" w:eastAsiaTheme="minorEastAsia" w:hAnsi="Arial" w:cs="Arial"/>
      <w:b/>
      <w:color w:val="0A548B"/>
      <w:spacing w:val="15"/>
      <w:sz w:val="44"/>
      <w:szCs w:val="22"/>
    </w:rPr>
  </w:style>
  <w:style w:type="paragraph" w:customStyle="1" w:styleId="Bullet">
    <w:name w:val="Bullet"/>
    <w:basedOn w:val="Normal"/>
    <w:link w:val="BulletChar"/>
    <w:uiPriority w:val="4"/>
    <w:qFormat/>
    <w:rsid w:val="00572960"/>
    <w:pPr>
      <w:numPr>
        <w:numId w:val="26"/>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572960"/>
    <w:pPr>
      <w:numPr>
        <w:numId w:val="27"/>
      </w:numPr>
      <w:ind w:left="426" w:hanging="426"/>
    </w:pPr>
  </w:style>
  <w:style w:type="character" w:customStyle="1" w:styleId="BulletChar">
    <w:name w:val="Bullet Char"/>
    <w:basedOn w:val="DefaultParagraphFont"/>
    <w:link w:val="Bullet"/>
    <w:uiPriority w:val="4"/>
    <w:rsid w:val="00E066C3"/>
  </w:style>
  <w:style w:type="paragraph" w:customStyle="1" w:styleId="Captionorcharttitle">
    <w:name w:val="Caption or chart title"/>
    <w:basedOn w:val="Numberedtext"/>
    <w:uiPriority w:val="12"/>
    <w:qFormat/>
    <w:rsid w:val="00FF4249"/>
    <w:pPr>
      <w:numPr>
        <w:numId w:val="0"/>
      </w:numPr>
      <w:ind w:left="426" w:hanging="426"/>
    </w:pPr>
    <w:rPr>
      <w:b/>
      <w:bCs/>
      <w:color w:val="0A548B"/>
      <w:sz w:val="20"/>
      <w:szCs w:val="20"/>
    </w:rPr>
  </w:style>
  <w:style w:type="character" w:customStyle="1" w:styleId="Heading4Char">
    <w:name w:val="Heading 4 Char"/>
    <w:basedOn w:val="DefaultParagraphFont"/>
    <w:link w:val="Heading4"/>
    <w:uiPriority w:val="3"/>
    <w:rsid w:val="00115AFC"/>
    <w:rPr>
      <w:rFonts w:ascii="Arial" w:eastAsiaTheme="majorEastAsia" w:hAnsi="Arial" w:cstheme="majorBidi"/>
      <w:b/>
      <w:color w:val="0A548B"/>
    </w:rPr>
  </w:style>
  <w:style w:type="character" w:styleId="FollowedHyperlink">
    <w:name w:val="FollowedHyperlink"/>
    <w:basedOn w:val="DefaultParagraphFont"/>
    <w:uiPriority w:val="99"/>
    <w:semiHidden/>
    <w:unhideWhenUsed/>
    <w:rsid w:val="00F64B06"/>
    <w:rPr>
      <w:color w:val="954F72" w:themeColor="followedHyperlink"/>
      <w:u w:val="single"/>
    </w:rPr>
  </w:style>
  <w:style w:type="paragraph" w:styleId="CommentText">
    <w:name w:val="annotation text"/>
    <w:basedOn w:val="Normal"/>
    <w:link w:val="CommentTextChar"/>
    <w:uiPriority w:val="99"/>
    <w:unhideWhenUsed/>
    <w:rsid w:val="00F87B4A"/>
    <w:rPr>
      <w:sz w:val="20"/>
      <w:szCs w:val="20"/>
    </w:rPr>
  </w:style>
  <w:style w:type="character" w:customStyle="1" w:styleId="CommentTextChar">
    <w:name w:val="Comment Text Char"/>
    <w:basedOn w:val="DefaultParagraphFont"/>
    <w:link w:val="CommentText"/>
    <w:uiPriority w:val="99"/>
    <w:rsid w:val="00F87B4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ecitb-workforce-census-2021/"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itb.org.uk/wp-content/uploads/2019/01/The-Industrial-Training-Engineering-Construction-Board-Order-199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itb.org.uk/labour-forecasting-tool-overview/" TargetMode="External"/><Relationship Id="rId5" Type="http://schemas.openxmlformats.org/officeDocument/2006/relationships/numbering" Target="numbering.xml"/><Relationship Id="rId15" Type="http://schemas.openxmlformats.org/officeDocument/2006/relationships/hyperlink" Target="mailto:research@ecitb.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apps.bgs.ac.uk/Memoirs/index.html?category=regional-guides-offsh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5A4C6D9B6514D9093E0AD5F213E44" ma:contentTypeVersion="16" ma:contentTypeDescription="Create a new document." ma:contentTypeScope="" ma:versionID="3d489876934d61b158bde4297dfd5bf2">
  <xsd:schema xmlns:xsd="http://www.w3.org/2001/XMLSchema" xmlns:xs="http://www.w3.org/2001/XMLSchema" xmlns:p="http://schemas.microsoft.com/office/2006/metadata/properties" xmlns:ns3="d48def53-3f63-4cba-b56f-7e5d01451037" xmlns:ns4="4c6f3493-5fd1-484b-a7cd-9bfd1095100b" targetNamespace="http://schemas.microsoft.com/office/2006/metadata/properties" ma:root="true" ma:fieldsID="d7452c6227ad446c75b3c8a6d42ecca3" ns3:_="" ns4:_="">
    <xsd:import namespace="d48def53-3f63-4cba-b56f-7e5d01451037"/>
    <xsd:import namespace="4c6f3493-5fd1-484b-a7cd-9bfd10951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f53-3f63-4cba-b56f-7e5d014510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f3493-5fd1-484b-a7cd-9bfd10951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c6f3493-5fd1-484b-a7cd-9bfd1095100b" xsi:nil="true"/>
  </documentManagement>
</p:properties>
</file>

<file path=customXml/itemProps1.xml><?xml version="1.0" encoding="utf-8"?>
<ds:datastoreItem xmlns:ds="http://schemas.openxmlformats.org/officeDocument/2006/customXml" ds:itemID="{8C7CCA53-E712-48E9-986A-BA0B5A5AE5CF}">
  <ds:schemaRefs>
    <ds:schemaRef ds:uri="http://schemas.microsoft.com/sharepoint/v3/contenttype/forms"/>
  </ds:schemaRefs>
</ds:datastoreItem>
</file>

<file path=customXml/itemProps2.xml><?xml version="1.0" encoding="utf-8"?>
<ds:datastoreItem xmlns:ds="http://schemas.openxmlformats.org/officeDocument/2006/customXml" ds:itemID="{2FBC5178-336A-4E6D-BC5C-44A341A6F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f53-3f63-4cba-b56f-7e5d01451037"/>
    <ds:schemaRef ds:uri="4c6f3493-5fd1-484b-a7cd-9bfd10951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customXml/itemProps4.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 ds:uri="4c6f3493-5fd1-484b-a7cd-9bfd1095100b"/>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Links>
    <vt:vector size="30" baseType="variant">
      <vt:variant>
        <vt:i4>3080259</vt:i4>
      </vt:variant>
      <vt:variant>
        <vt:i4>12</vt:i4>
      </vt:variant>
      <vt:variant>
        <vt:i4>0</vt:i4>
      </vt:variant>
      <vt:variant>
        <vt:i4>5</vt:i4>
      </vt:variant>
      <vt:variant>
        <vt:lpwstr>mailto:research@ecitb.org.uk</vt:lpwstr>
      </vt:variant>
      <vt:variant>
        <vt:lpwstr/>
      </vt:variant>
      <vt:variant>
        <vt:i4>3735651</vt:i4>
      </vt:variant>
      <vt:variant>
        <vt:i4>9</vt:i4>
      </vt:variant>
      <vt:variant>
        <vt:i4>0</vt:i4>
      </vt:variant>
      <vt:variant>
        <vt:i4>5</vt:i4>
      </vt:variant>
      <vt:variant>
        <vt:lpwstr>https://webapps.bgs.ac.uk/Memoirs/index.html?category=regional-guides-offshore</vt:lpwstr>
      </vt:variant>
      <vt:variant>
        <vt:lpwstr/>
      </vt:variant>
      <vt:variant>
        <vt:i4>3604513</vt:i4>
      </vt:variant>
      <vt:variant>
        <vt:i4>6</vt:i4>
      </vt:variant>
      <vt:variant>
        <vt:i4>0</vt:i4>
      </vt:variant>
      <vt:variant>
        <vt:i4>5</vt:i4>
      </vt:variant>
      <vt:variant>
        <vt:lpwstr>https://www.ecitb.org.uk/blog/portfolio-items/ecitb-workforce-census-2021/</vt:lpwstr>
      </vt:variant>
      <vt:variant>
        <vt:lpwstr/>
      </vt:variant>
      <vt:variant>
        <vt:i4>1441805</vt:i4>
      </vt:variant>
      <vt:variant>
        <vt:i4>3</vt:i4>
      </vt:variant>
      <vt:variant>
        <vt:i4>0</vt:i4>
      </vt:variant>
      <vt:variant>
        <vt:i4>5</vt:i4>
      </vt:variant>
      <vt:variant>
        <vt:lpwstr>https://www.ecitb.org.uk/wp-content/uploads/2019/01/The-Industrial-Training-Engineering-Construction-Board-Order-1991.pdf</vt:lpwstr>
      </vt:variant>
      <vt:variant>
        <vt:lpwstr/>
      </vt:variant>
      <vt:variant>
        <vt:i4>7929894</vt:i4>
      </vt:variant>
      <vt:variant>
        <vt:i4>0</vt:i4>
      </vt:variant>
      <vt:variant>
        <vt:i4>0</vt:i4>
      </vt:variant>
      <vt:variant>
        <vt:i4>5</vt:i4>
      </vt:variant>
      <vt:variant>
        <vt:lpwstr>https://www.ecitb.org.uk/labour-forecasting-tool-overview/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Boyer-Fantini</dc:creator>
  <cp:keywords/>
  <dc:description/>
  <cp:lastModifiedBy>Jenny Young</cp:lastModifiedBy>
  <cp:revision>2</cp:revision>
  <dcterms:created xsi:type="dcterms:W3CDTF">2023-11-30T18:31:00Z</dcterms:created>
  <dcterms:modified xsi:type="dcterms:W3CDTF">2023-11-30T18:31:00Z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0x01010031C5A4C6D9B6514D9093E0AD5F213E44</vt:lpwstr>
  </property>
</Properties>
</file>